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0F99E" w14:textId="50697A42" w:rsidR="00D305A5" w:rsidRPr="007756A8" w:rsidRDefault="00EB1F5A" w:rsidP="00D305A5">
      <w:pPr>
        <w:spacing w:after="120"/>
        <w:rPr>
          <w:rFonts w:ascii="Times New Roman" w:hAnsi="Times New Roman" w:cs="Times New Roman"/>
          <w:b/>
          <w:sz w:val="24"/>
          <w:szCs w:val="24"/>
        </w:rPr>
      </w:pPr>
      <w:r>
        <w:rPr>
          <w:rFonts w:ascii="Times New Roman" w:hAnsi="Times New Roman" w:cs="Times New Roman"/>
          <w:noProof/>
          <w:sz w:val="24"/>
          <w:szCs w:val="24"/>
          <w:lang w:val="en-GB" w:eastAsia="en-GB"/>
        </w:rPr>
        <w:drawing>
          <wp:anchor distT="0" distB="0" distL="114300" distR="114300" simplePos="0" relativeHeight="251667456" behindDoc="1" locked="0" layoutInCell="1" allowOverlap="1" wp14:anchorId="1F3E55C0" wp14:editId="408E402C">
            <wp:simplePos x="0" y="0"/>
            <wp:positionH relativeFrom="column">
              <wp:posOffset>4629150</wp:posOffset>
            </wp:positionH>
            <wp:positionV relativeFrom="paragraph">
              <wp:posOffset>-400050</wp:posOffset>
            </wp:positionV>
            <wp:extent cx="1495425" cy="1495425"/>
            <wp:effectExtent l="0" t="0" r="9525" b="0"/>
            <wp:wrapNone/>
            <wp:docPr id="1471697201"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97201" name="Picture 2" descr="A blue and yellow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r w:rsidR="000A4E46">
        <w:rPr>
          <w:rFonts w:ascii="Times New Roman" w:hAnsi="Times New Roman" w:cs="Times New Roman"/>
          <w:b/>
          <w:noProof/>
          <w:sz w:val="24"/>
          <w:szCs w:val="24"/>
          <w:lang w:val="en-GB" w:eastAsia="en-GB"/>
        </w:rPr>
        <w:drawing>
          <wp:anchor distT="0" distB="0" distL="114300" distR="114300" simplePos="0" relativeHeight="251662336" behindDoc="1" locked="0" layoutInCell="1" allowOverlap="1" wp14:anchorId="75227B52" wp14:editId="79840433">
            <wp:simplePos x="0" y="0"/>
            <wp:positionH relativeFrom="column">
              <wp:posOffset>1781175</wp:posOffset>
            </wp:positionH>
            <wp:positionV relativeFrom="paragraph">
              <wp:posOffset>81915</wp:posOffset>
            </wp:positionV>
            <wp:extent cx="2362200" cy="844940"/>
            <wp:effectExtent l="0" t="0" r="0" b="0"/>
            <wp:wrapNone/>
            <wp:docPr id="123435304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353041" name="Picture 1" descr="A 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844940"/>
                    </a:xfrm>
                    <a:prstGeom prst="rect">
                      <a:avLst/>
                    </a:prstGeom>
                  </pic:spPr>
                </pic:pic>
              </a:graphicData>
            </a:graphic>
            <wp14:sizeRelH relativeFrom="page">
              <wp14:pctWidth>0</wp14:pctWidth>
            </wp14:sizeRelH>
            <wp14:sizeRelV relativeFrom="page">
              <wp14:pctHeight>0</wp14:pctHeight>
            </wp14:sizeRelV>
          </wp:anchor>
        </w:drawing>
      </w:r>
      <w:r w:rsidR="00516741">
        <w:rPr>
          <w:noProof/>
          <w:lang w:val="en-GB" w:eastAsia="en-GB"/>
        </w:rPr>
        <w:drawing>
          <wp:anchor distT="0" distB="0" distL="114300" distR="114300" simplePos="0" relativeHeight="251659264" behindDoc="0" locked="0" layoutInCell="1" allowOverlap="1" wp14:anchorId="11B23C40" wp14:editId="661B82C6">
            <wp:simplePos x="0" y="0"/>
            <wp:positionH relativeFrom="margin">
              <wp:align>left</wp:align>
            </wp:positionH>
            <wp:positionV relativeFrom="paragraph">
              <wp:posOffset>0</wp:posOffset>
            </wp:positionV>
            <wp:extent cx="1270000" cy="926703"/>
            <wp:effectExtent l="0" t="0" r="6350" b="6985"/>
            <wp:wrapNone/>
            <wp:docPr id="5" name="Picture 4">
              <a:extLst xmlns:a="http://schemas.openxmlformats.org/drawingml/2006/main">
                <a:ext uri="{FF2B5EF4-FFF2-40B4-BE49-F238E27FC236}">
                  <a16:creationId xmlns:a16="http://schemas.microsoft.com/office/drawing/2014/main" id="{2DDF67D2-02A2-4C07-BB28-AEFB5BCDCA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DDF67D2-02A2-4C07-BB28-AEFB5BCDCA93}"/>
                        </a:ext>
                      </a:extLst>
                    </pic:cNvPr>
                    <pic:cNvPicPr>
                      <a:picLocks noChangeAspect="1"/>
                    </pic:cNvPicPr>
                  </pic:nvPicPr>
                  <pic:blipFill>
                    <a:blip r:embed="rId9"/>
                    <a:stretch>
                      <a:fillRect/>
                    </a:stretch>
                  </pic:blipFill>
                  <pic:spPr>
                    <a:xfrm>
                      <a:off x="0" y="0"/>
                      <a:ext cx="1272240" cy="928337"/>
                    </a:xfrm>
                    <a:prstGeom prst="rect">
                      <a:avLst/>
                    </a:prstGeom>
                  </pic:spPr>
                </pic:pic>
              </a:graphicData>
            </a:graphic>
            <wp14:sizeRelH relativeFrom="margin">
              <wp14:pctWidth>0</wp14:pctWidth>
            </wp14:sizeRelH>
            <wp14:sizeRelV relativeFrom="margin">
              <wp14:pctHeight>0</wp14:pctHeight>
            </wp14:sizeRelV>
          </wp:anchor>
        </w:drawing>
      </w:r>
    </w:p>
    <w:p w14:paraId="7154E276" w14:textId="54390A1C" w:rsidR="00D305A5" w:rsidRPr="007756A8" w:rsidRDefault="00D305A5" w:rsidP="00D305A5">
      <w:pPr>
        <w:spacing w:after="120"/>
        <w:rPr>
          <w:rFonts w:ascii="Times New Roman" w:hAnsi="Times New Roman" w:cs="Times New Roman"/>
          <w:b/>
          <w:sz w:val="24"/>
          <w:szCs w:val="24"/>
        </w:rPr>
      </w:pPr>
    </w:p>
    <w:p w14:paraId="6080AE52" w14:textId="77777777" w:rsidR="00D305A5" w:rsidRPr="007756A8" w:rsidRDefault="00D305A5" w:rsidP="00D305A5">
      <w:pPr>
        <w:spacing w:after="120"/>
        <w:rPr>
          <w:rFonts w:ascii="Times New Roman" w:hAnsi="Times New Roman" w:cs="Times New Roman"/>
          <w:b/>
          <w:sz w:val="24"/>
          <w:szCs w:val="24"/>
        </w:rPr>
      </w:pPr>
    </w:p>
    <w:p w14:paraId="43AC5788" w14:textId="58AB1AE7" w:rsidR="00D305A5" w:rsidRPr="007756A8" w:rsidRDefault="00D305A5" w:rsidP="00D305A5">
      <w:pPr>
        <w:spacing w:after="120"/>
        <w:rPr>
          <w:rFonts w:ascii="Times New Roman" w:hAnsi="Times New Roman" w:cs="Times New Roman"/>
          <w:b/>
          <w:sz w:val="24"/>
          <w:szCs w:val="24"/>
        </w:rPr>
      </w:pPr>
    </w:p>
    <w:p w14:paraId="76FBD9AC" w14:textId="18378FBC" w:rsidR="00D305A5" w:rsidRPr="005E63FD" w:rsidRDefault="00D305A5" w:rsidP="00D305A5">
      <w:pPr>
        <w:spacing w:after="120"/>
        <w:jc w:val="center"/>
        <w:rPr>
          <w:rFonts w:ascii="Times New Roman" w:hAnsi="Times New Roman" w:cs="Times New Roman"/>
          <w:b/>
          <w:sz w:val="28"/>
          <w:szCs w:val="28"/>
        </w:rPr>
      </w:pPr>
      <w:r w:rsidRPr="007756A8">
        <w:rPr>
          <w:rFonts w:ascii="Times New Roman" w:hAnsi="Times New Roman" w:cs="Times New Roman"/>
          <w:b/>
          <w:sz w:val="24"/>
          <w:szCs w:val="24"/>
        </w:rPr>
        <w:br/>
      </w:r>
    </w:p>
    <w:p w14:paraId="36DA94A5" w14:textId="46F03DD4" w:rsidR="00D305A5" w:rsidRPr="00951522" w:rsidRDefault="00D305A5" w:rsidP="00D305A5">
      <w:pPr>
        <w:spacing w:after="120"/>
        <w:jc w:val="center"/>
        <w:rPr>
          <w:rFonts w:ascii="Times New Roman" w:hAnsi="Times New Roman" w:cs="Times New Roman"/>
          <w:b/>
          <w:sz w:val="36"/>
          <w:szCs w:val="36"/>
        </w:rPr>
      </w:pPr>
      <w:r w:rsidRPr="005E63FD">
        <w:rPr>
          <w:rFonts w:ascii="Times New Roman" w:hAnsi="Times New Roman" w:cs="Times New Roman"/>
          <w:b/>
          <w:sz w:val="28"/>
          <w:szCs w:val="28"/>
        </w:rPr>
        <w:br/>
      </w:r>
      <w:r w:rsidRPr="00951522">
        <w:rPr>
          <w:rFonts w:ascii="Times New Roman" w:hAnsi="Times New Roman" w:cs="Times New Roman"/>
          <w:b/>
          <w:sz w:val="36"/>
          <w:szCs w:val="36"/>
        </w:rPr>
        <w:t>FINANCIAL SUPPORT TO THIRD PARTIES</w:t>
      </w:r>
    </w:p>
    <w:p w14:paraId="660AEE48" w14:textId="77777777" w:rsidR="00E83131" w:rsidRPr="00951522" w:rsidRDefault="00E83131" w:rsidP="00E83131">
      <w:pPr>
        <w:spacing w:after="120"/>
        <w:jc w:val="center"/>
        <w:rPr>
          <w:rFonts w:ascii="Times New Roman" w:hAnsi="Times New Roman" w:cs="Times New Roman"/>
          <w:b/>
          <w:sz w:val="36"/>
          <w:szCs w:val="36"/>
        </w:rPr>
      </w:pPr>
      <w:r>
        <w:rPr>
          <w:rFonts w:ascii="Times New Roman" w:hAnsi="Times New Roman" w:cs="Times New Roman"/>
          <w:b/>
          <w:sz w:val="28"/>
          <w:szCs w:val="28"/>
        </w:rPr>
        <w:t>f</w:t>
      </w:r>
      <w:r w:rsidRPr="00230CBD">
        <w:rPr>
          <w:rFonts w:ascii="Times New Roman" w:hAnsi="Times New Roman" w:cs="Times New Roman"/>
          <w:b/>
          <w:sz w:val="28"/>
          <w:szCs w:val="28"/>
        </w:rPr>
        <w:t>or projects that contribute to</w:t>
      </w:r>
    </w:p>
    <w:p w14:paraId="46728BC4" w14:textId="4B2455D0" w:rsidR="006562DC" w:rsidRDefault="00E83131" w:rsidP="00E83131">
      <w:pPr>
        <w:spacing w:after="120"/>
        <w:jc w:val="center"/>
        <w:rPr>
          <w:rFonts w:ascii="Times New Roman" w:hAnsi="Times New Roman" w:cs="Times New Roman"/>
          <w:b/>
          <w:sz w:val="28"/>
          <w:szCs w:val="28"/>
        </w:rPr>
      </w:pPr>
      <w:r w:rsidRPr="00C07AB7">
        <w:rPr>
          <w:rFonts w:ascii="Times New Roman" w:hAnsi="Times New Roman" w:cs="Times New Roman"/>
          <w:bCs/>
          <w:sz w:val="28"/>
          <w:szCs w:val="28"/>
        </w:rPr>
        <w:t xml:space="preserve">REDUCTION OF VIOLENCE </w:t>
      </w:r>
      <w:r w:rsidR="00BB4E3A">
        <w:rPr>
          <w:rFonts w:ascii="Times New Roman" w:hAnsi="Times New Roman" w:cs="Times New Roman"/>
          <w:bCs/>
          <w:sz w:val="28"/>
          <w:szCs w:val="28"/>
        </w:rPr>
        <w:t>AGAINST</w:t>
      </w:r>
      <w:r w:rsidRPr="00C07AB7">
        <w:rPr>
          <w:rFonts w:ascii="Times New Roman" w:hAnsi="Times New Roman" w:cs="Times New Roman"/>
          <w:bCs/>
          <w:sz w:val="28"/>
          <w:szCs w:val="28"/>
        </w:rPr>
        <w:t xml:space="preserve"> WOMEN &amp; YOUTH</w:t>
      </w:r>
    </w:p>
    <w:p w14:paraId="526C5B0C" w14:textId="77777777" w:rsidR="006562DC" w:rsidRDefault="006562DC" w:rsidP="00D305A5">
      <w:pPr>
        <w:spacing w:after="120"/>
        <w:jc w:val="center"/>
        <w:rPr>
          <w:rFonts w:ascii="Times New Roman" w:hAnsi="Times New Roman" w:cs="Times New Roman"/>
          <w:b/>
          <w:sz w:val="28"/>
          <w:szCs w:val="28"/>
        </w:rPr>
      </w:pPr>
    </w:p>
    <w:p w14:paraId="39D6D9F9" w14:textId="77777777" w:rsidR="006562DC" w:rsidRDefault="006562DC" w:rsidP="00D305A5">
      <w:pPr>
        <w:spacing w:after="120"/>
        <w:jc w:val="center"/>
        <w:rPr>
          <w:rFonts w:ascii="Times New Roman" w:hAnsi="Times New Roman" w:cs="Times New Roman"/>
          <w:b/>
          <w:sz w:val="28"/>
          <w:szCs w:val="28"/>
        </w:rPr>
      </w:pPr>
    </w:p>
    <w:p w14:paraId="66E1B835" w14:textId="45C4206C" w:rsidR="00D305A5" w:rsidRPr="00C07AB7" w:rsidRDefault="00D305A5" w:rsidP="00D305A5">
      <w:pPr>
        <w:spacing w:after="120"/>
        <w:jc w:val="center"/>
        <w:rPr>
          <w:rFonts w:ascii="Times New Roman" w:hAnsi="Times New Roman" w:cs="Times New Roman"/>
          <w:b/>
          <w:sz w:val="32"/>
          <w:szCs w:val="32"/>
        </w:rPr>
      </w:pPr>
      <w:r w:rsidRPr="00C07AB7">
        <w:rPr>
          <w:rFonts w:ascii="Times New Roman" w:hAnsi="Times New Roman" w:cs="Times New Roman"/>
          <w:b/>
          <w:sz w:val="32"/>
          <w:szCs w:val="32"/>
        </w:rPr>
        <w:t>CALL for PROPOSALS</w:t>
      </w:r>
      <w:r w:rsidR="00AA79CF" w:rsidRPr="00C07AB7">
        <w:rPr>
          <w:rFonts w:ascii="Times New Roman" w:hAnsi="Times New Roman" w:cs="Times New Roman"/>
          <w:b/>
          <w:sz w:val="32"/>
          <w:szCs w:val="32"/>
        </w:rPr>
        <w:t xml:space="preserve"> &amp; CONCEPTS</w:t>
      </w:r>
    </w:p>
    <w:p w14:paraId="7C64BCDD" w14:textId="38EAB46B" w:rsidR="00D305A5" w:rsidRPr="005E63FD" w:rsidRDefault="00D305A5" w:rsidP="00D305A5">
      <w:pPr>
        <w:spacing w:after="120"/>
        <w:jc w:val="center"/>
        <w:rPr>
          <w:rFonts w:ascii="Times New Roman" w:hAnsi="Times New Roman" w:cs="Times New Roman"/>
          <w:sz w:val="28"/>
          <w:szCs w:val="28"/>
        </w:rPr>
      </w:pPr>
      <w:r w:rsidRPr="005E63FD">
        <w:rPr>
          <w:rFonts w:ascii="Times New Roman" w:hAnsi="Times New Roman" w:cs="Times New Roman"/>
          <w:sz w:val="28"/>
          <w:szCs w:val="28"/>
        </w:rPr>
        <w:t>202</w:t>
      </w:r>
      <w:r w:rsidR="00AA79CF">
        <w:rPr>
          <w:rFonts w:ascii="Times New Roman" w:hAnsi="Times New Roman" w:cs="Times New Roman"/>
          <w:sz w:val="28"/>
          <w:szCs w:val="28"/>
        </w:rPr>
        <w:t>4</w:t>
      </w:r>
      <w:r w:rsidRPr="005E63FD">
        <w:rPr>
          <w:rFonts w:ascii="Times New Roman" w:hAnsi="Times New Roman" w:cs="Times New Roman"/>
          <w:sz w:val="28"/>
          <w:szCs w:val="28"/>
        </w:rPr>
        <w:t>/CSBI/RLMS</w:t>
      </w:r>
    </w:p>
    <w:p w14:paraId="3FAE74E7" w14:textId="0274F436" w:rsidR="00D305A5" w:rsidRDefault="00D305A5" w:rsidP="00D305A5">
      <w:pPr>
        <w:spacing w:after="120"/>
        <w:jc w:val="center"/>
        <w:rPr>
          <w:rFonts w:ascii="Times New Roman" w:hAnsi="Times New Roman" w:cs="Times New Roman"/>
          <w:sz w:val="28"/>
          <w:szCs w:val="28"/>
        </w:rPr>
      </w:pPr>
    </w:p>
    <w:p w14:paraId="5BC96B6C" w14:textId="1F0C1DB6" w:rsidR="006562DC" w:rsidRPr="005E63FD" w:rsidRDefault="009E533A" w:rsidP="00D305A5">
      <w:pPr>
        <w:spacing w:after="120"/>
        <w:jc w:val="center"/>
        <w:rPr>
          <w:rFonts w:ascii="Times New Roman" w:hAnsi="Times New Roman" w:cs="Times New Roman"/>
          <w:sz w:val="28"/>
          <w:szCs w:val="28"/>
        </w:rPr>
      </w:pPr>
      <w:r>
        <w:rPr>
          <w:rFonts w:ascii="Times New Roman" w:hAnsi="Times New Roman" w:cs="Times New Roman"/>
          <w:sz w:val="28"/>
          <w:szCs w:val="28"/>
        </w:rPr>
        <w:t>CONTRACTING AUTHORITY: RISE Life Management Services</w:t>
      </w:r>
      <w:r>
        <w:rPr>
          <w:rFonts w:ascii="Times New Roman" w:hAnsi="Times New Roman" w:cs="Times New Roman"/>
          <w:sz w:val="28"/>
          <w:szCs w:val="28"/>
        </w:rPr>
        <w:br/>
      </w:r>
      <w:r>
        <w:rPr>
          <w:rFonts w:ascii="Times New Roman" w:hAnsi="Times New Roman" w:cs="Times New Roman"/>
          <w:sz w:val="28"/>
          <w:szCs w:val="28"/>
        </w:rPr>
        <w:br/>
      </w:r>
    </w:p>
    <w:p w14:paraId="22C79D42" w14:textId="3E076912" w:rsidR="00D305A5" w:rsidRPr="00C07AB7" w:rsidRDefault="00F618C4" w:rsidP="00D305A5">
      <w:pPr>
        <w:spacing w:after="120"/>
        <w:jc w:val="center"/>
        <w:rPr>
          <w:rFonts w:ascii="Times New Roman" w:hAnsi="Times New Roman" w:cs="Times New Roman"/>
          <w:b/>
          <w:bCs/>
          <w:sz w:val="32"/>
          <w:szCs w:val="32"/>
        </w:rPr>
      </w:pPr>
      <w:r w:rsidRPr="00C07AB7">
        <w:rPr>
          <w:rFonts w:ascii="Times New Roman" w:hAnsi="Times New Roman" w:cs="Times New Roman"/>
          <w:b/>
          <w:bCs/>
          <w:sz w:val="32"/>
          <w:szCs w:val="32"/>
        </w:rPr>
        <w:t>GUIDELINES TO APPLICANTS</w:t>
      </w:r>
    </w:p>
    <w:p w14:paraId="44B63D42" w14:textId="77777777" w:rsidR="00D305A5" w:rsidRPr="005E63FD" w:rsidRDefault="00D305A5" w:rsidP="00D305A5">
      <w:pPr>
        <w:spacing w:after="120"/>
        <w:jc w:val="center"/>
        <w:rPr>
          <w:rFonts w:ascii="Times New Roman" w:hAnsi="Times New Roman" w:cs="Times New Roman"/>
          <w:sz w:val="28"/>
          <w:szCs w:val="28"/>
        </w:rPr>
      </w:pPr>
    </w:p>
    <w:p w14:paraId="340F1820" w14:textId="3A256460" w:rsidR="00D305A5" w:rsidRDefault="00D305A5" w:rsidP="00D305A5">
      <w:pPr>
        <w:spacing w:after="120"/>
        <w:jc w:val="center"/>
        <w:rPr>
          <w:rFonts w:ascii="Times New Roman" w:hAnsi="Times New Roman" w:cs="Times New Roman"/>
          <w:sz w:val="28"/>
          <w:szCs w:val="28"/>
        </w:rPr>
      </w:pPr>
    </w:p>
    <w:p w14:paraId="367928C4" w14:textId="611DC4F0" w:rsidR="006A4F01" w:rsidRDefault="006A4F01" w:rsidP="00D305A5">
      <w:pPr>
        <w:spacing w:after="120"/>
        <w:jc w:val="center"/>
        <w:rPr>
          <w:rFonts w:ascii="Times New Roman" w:hAnsi="Times New Roman" w:cs="Times New Roman"/>
          <w:sz w:val="28"/>
          <w:szCs w:val="28"/>
        </w:rPr>
      </w:pPr>
    </w:p>
    <w:p w14:paraId="421D65C8" w14:textId="72BA5536" w:rsidR="00D305A5" w:rsidRPr="005E63FD" w:rsidRDefault="00D305A5" w:rsidP="00D305A5">
      <w:pPr>
        <w:spacing w:after="120"/>
        <w:jc w:val="center"/>
        <w:rPr>
          <w:rFonts w:ascii="Times New Roman" w:hAnsi="Times New Roman" w:cs="Times New Roman"/>
          <w:sz w:val="28"/>
          <w:szCs w:val="28"/>
        </w:rPr>
      </w:pPr>
      <w:r w:rsidRPr="005E63FD">
        <w:rPr>
          <w:rFonts w:ascii="Times New Roman" w:hAnsi="Times New Roman" w:cs="Times New Roman"/>
          <w:sz w:val="28"/>
          <w:szCs w:val="28"/>
        </w:rPr>
        <w:t>Deadline for Submission:</w:t>
      </w:r>
    </w:p>
    <w:p w14:paraId="7CD68FEE" w14:textId="407212EC" w:rsidR="00D305A5" w:rsidRPr="005E63FD" w:rsidRDefault="00C50DC7" w:rsidP="00D305A5">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May </w:t>
      </w:r>
      <w:r w:rsidR="00051F02">
        <w:rPr>
          <w:rFonts w:ascii="Times New Roman" w:hAnsi="Times New Roman" w:cs="Times New Roman"/>
          <w:b/>
          <w:sz w:val="28"/>
          <w:szCs w:val="28"/>
        </w:rPr>
        <w:t>24</w:t>
      </w:r>
      <w:r w:rsidR="00D305A5" w:rsidRPr="005E63FD">
        <w:rPr>
          <w:rFonts w:ascii="Times New Roman" w:hAnsi="Times New Roman" w:cs="Times New Roman"/>
          <w:b/>
          <w:sz w:val="28"/>
          <w:szCs w:val="28"/>
        </w:rPr>
        <w:t>, 202</w:t>
      </w:r>
      <w:r w:rsidR="00260F10">
        <w:rPr>
          <w:rFonts w:ascii="Times New Roman" w:hAnsi="Times New Roman" w:cs="Times New Roman"/>
          <w:b/>
          <w:sz w:val="28"/>
          <w:szCs w:val="28"/>
        </w:rPr>
        <w:t>4</w:t>
      </w:r>
      <w:r w:rsidR="00D305A5" w:rsidRPr="005E63FD">
        <w:rPr>
          <w:rFonts w:ascii="Times New Roman" w:hAnsi="Times New Roman" w:cs="Times New Roman"/>
          <w:b/>
          <w:sz w:val="28"/>
          <w:szCs w:val="28"/>
        </w:rPr>
        <w:t>, 4:30 p.m. local date and time</w:t>
      </w:r>
    </w:p>
    <w:p w14:paraId="66AD0806" w14:textId="743932A4" w:rsidR="00061727" w:rsidRDefault="001D1AD9" w:rsidP="00D305A5">
      <w:pPr>
        <w:spacing w:after="120"/>
        <w:jc w:val="center"/>
        <w:rPr>
          <w:rFonts w:ascii="Times New Roman" w:hAnsi="Times New Roman" w:cs="Times New Roman"/>
          <w:sz w:val="28"/>
          <w:szCs w:val="28"/>
        </w:rPr>
      </w:pPr>
      <w:r w:rsidRPr="005E63FD">
        <w:rPr>
          <w:rFonts w:ascii="Times New Roman" w:hAnsi="Times New Roman" w:cs="Times New Roman"/>
          <w:sz w:val="28"/>
          <w:szCs w:val="28"/>
        </w:rPr>
        <w:t xml:space="preserve">Information session for Applicants: </w:t>
      </w:r>
      <w:r w:rsidR="00CE2CA1">
        <w:rPr>
          <w:rFonts w:ascii="Times New Roman" w:hAnsi="Times New Roman" w:cs="Times New Roman"/>
          <w:sz w:val="28"/>
          <w:szCs w:val="28"/>
        </w:rPr>
        <w:t>April</w:t>
      </w:r>
      <w:r w:rsidRPr="005E63FD">
        <w:rPr>
          <w:rFonts w:ascii="Times New Roman" w:hAnsi="Times New Roman" w:cs="Times New Roman"/>
          <w:sz w:val="28"/>
          <w:szCs w:val="28"/>
        </w:rPr>
        <w:t xml:space="preserve"> </w:t>
      </w:r>
      <w:r w:rsidR="000E721F">
        <w:rPr>
          <w:rFonts w:ascii="Times New Roman" w:hAnsi="Times New Roman" w:cs="Times New Roman"/>
          <w:sz w:val="28"/>
          <w:szCs w:val="28"/>
        </w:rPr>
        <w:t>18</w:t>
      </w:r>
      <w:r w:rsidRPr="005E63FD">
        <w:rPr>
          <w:rFonts w:ascii="Times New Roman" w:hAnsi="Times New Roman" w:cs="Times New Roman"/>
          <w:sz w:val="28"/>
          <w:szCs w:val="28"/>
        </w:rPr>
        <w:t>, 20</w:t>
      </w:r>
      <w:r w:rsidR="00D305A5" w:rsidRPr="005E63FD">
        <w:rPr>
          <w:rFonts w:ascii="Times New Roman" w:hAnsi="Times New Roman" w:cs="Times New Roman"/>
          <w:sz w:val="28"/>
          <w:szCs w:val="28"/>
        </w:rPr>
        <w:t>2</w:t>
      </w:r>
      <w:r w:rsidR="00CE2CA1">
        <w:rPr>
          <w:rFonts w:ascii="Times New Roman" w:hAnsi="Times New Roman" w:cs="Times New Roman"/>
          <w:sz w:val="28"/>
          <w:szCs w:val="28"/>
        </w:rPr>
        <w:t>4</w:t>
      </w:r>
      <w:r w:rsidRPr="005E63FD">
        <w:rPr>
          <w:rFonts w:ascii="Times New Roman" w:hAnsi="Times New Roman" w:cs="Times New Roman"/>
          <w:sz w:val="28"/>
          <w:szCs w:val="28"/>
        </w:rPr>
        <w:t>, 10:</w:t>
      </w:r>
      <w:r w:rsidR="00D305A5" w:rsidRPr="005E63FD">
        <w:rPr>
          <w:rFonts w:ascii="Times New Roman" w:hAnsi="Times New Roman" w:cs="Times New Roman"/>
          <w:sz w:val="28"/>
          <w:szCs w:val="28"/>
        </w:rPr>
        <w:t>3</w:t>
      </w:r>
      <w:r w:rsidRPr="005E63FD">
        <w:rPr>
          <w:rFonts w:ascii="Times New Roman" w:hAnsi="Times New Roman" w:cs="Times New Roman"/>
          <w:sz w:val="28"/>
          <w:szCs w:val="28"/>
        </w:rPr>
        <w:t>0 a.m. – 1</w:t>
      </w:r>
      <w:r w:rsidR="00D305A5" w:rsidRPr="005E63FD">
        <w:rPr>
          <w:rFonts w:ascii="Times New Roman" w:hAnsi="Times New Roman" w:cs="Times New Roman"/>
          <w:sz w:val="28"/>
          <w:szCs w:val="28"/>
        </w:rPr>
        <w:t>2</w:t>
      </w:r>
      <w:r w:rsidRPr="005E63FD">
        <w:rPr>
          <w:rFonts w:ascii="Times New Roman" w:hAnsi="Times New Roman" w:cs="Times New Roman"/>
          <w:sz w:val="28"/>
          <w:szCs w:val="28"/>
        </w:rPr>
        <w:t>:</w:t>
      </w:r>
      <w:r w:rsidR="00647562">
        <w:rPr>
          <w:rFonts w:ascii="Times New Roman" w:hAnsi="Times New Roman" w:cs="Times New Roman"/>
          <w:sz w:val="28"/>
          <w:szCs w:val="28"/>
        </w:rPr>
        <w:t>0</w:t>
      </w:r>
      <w:r w:rsidRPr="005E63FD">
        <w:rPr>
          <w:rFonts w:ascii="Times New Roman" w:hAnsi="Times New Roman" w:cs="Times New Roman"/>
          <w:sz w:val="28"/>
          <w:szCs w:val="28"/>
        </w:rPr>
        <w:t xml:space="preserve">0 </w:t>
      </w:r>
      <w:r w:rsidR="00516741">
        <w:rPr>
          <w:rFonts w:ascii="Times New Roman" w:hAnsi="Times New Roman" w:cs="Times New Roman"/>
          <w:sz w:val="28"/>
          <w:szCs w:val="28"/>
        </w:rPr>
        <w:t>p</w:t>
      </w:r>
      <w:r w:rsidRPr="005E63FD">
        <w:rPr>
          <w:rFonts w:ascii="Times New Roman" w:hAnsi="Times New Roman" w:cs="Times New Roman"/>
          <w:sz w:val="28"/>
          <w:szCs w:val="28"/>
        </w:rPr>
        <w:t>.</w:t>
      </w:r>
      <w:r w:rsidR="00516741">
        <w:rPr>
          <w:rFonts w:ascii="Times New Roman" w:hAnsi="Times New Roman" w:cs="Times New Roman"/>
          <w:sz w:val="28"/>
          <w:szCs w:val="28"/>
        </w:rPr>
        <w:t>m</w:t>
      </w:r>
      <w:r w:rsidRPr="005E63FD">
        <w:rPr>
          <w:rFonts w:ascii="Times New Roman" w:hAnsi="Times New Roman" w:cs="Times New Roman"/>
          <w:sz w:val="28"/>
          <w:szCs w:val="28"/>
        </w:rPr>
        <w:t>m.</w:t>
      </w:r>
      <w:r w:rsidR="00D305A5" w:rsidRPr="005E63FD">
        <w:rPr>
          <w:rFonts w:ascii="Times New Roman" w:hAnsi="Times New Roman" w:cs="Times New Roman"/>
          <w:sz w:val="28"/>
          <w:szCs w:val="28"/>
        </w:rPr>
        <w:t xml:space="preserve"> </w:t>
      </w:r>
    </w:p>
    <w:p w14:paraId="416B2097" w14:textId="4B335AD3" w:rsidR="00F148F5" w:rsidRDefault="00D305A5" w:rsidP="009E533A">
      <w:pPr>
        <w:spacing w:after="120"/>
        <w:jc w:val="center"/>
        <w:rPr>
          <w:rFonts w:ascii="Times New Roman" w:hAnsi="Times New Roman" w:cs="Times New Roman"/>
          <w:sz w:val="28"/>
          <w:szCs w:val="28"/>
        </w:rPr>
      </w:pPr>
      <w:r w:rsidRPr="005E63FD">
        <w:rPr>
          <w:rFonts w:ascii="Times New Roman" w:hAnsi="Times New Roman" w:cs="Times New Roman"/>
          <w:sz w:val="28"/>
          <w:szCs w:val="28"/>
        </w:rPr>
        <w:t>(via Zoom)</w:t>
      </w:r>
    </w:p>
    <w:p w14:paraId="1429C9A9" w14:textId="77777777" w:rsidR="00E83131" w:rsidRPr="009E533A" w:rsidRDefault="00E83131" w:rsidP="009E533A">
      <w:pPr>
        <w:spacing w:after="120"/>
        <w:jc w:val="center"/>
        <w:rPr>
          <w:rFonts w:ascii="Times New Roman" w:hAnsi="Times New Roman" w:cs="Times New Roman"/>
          <w:sz w:val="28"/>
          <w:szCs w:val="28"/>
        </w:rPr>
      </w:pPr>
    </w:p>
    <w:p w14:paraId="79247C98" w14:textId="07CCD4A0" w:rsidR="00583BD1" w:rsidRPr="00583BD1" w:rsidRDefault="00F148F5" w:rsidP="00583BD1">
      <w:pPr>
        <w:pStyle w:val="ListParagraph"/>
        <w:numPr>
          <w:ilvl w:val="0"/>
          <w:numId w:val="7"/>
        </w:numPr>
        <w:spacing w:after="120"/>
        <w:rPr>
          <w:b/>
        </w:rPr>
      </w:pPr>
      <w:r w:rsidRPr="00583BD1">
        <w:rPr>
          <w:b/>
        </w:rPr>
        <w:lastRenderedPageBreak/>
        <w:t>Background to Action</w:t>
      </w:r>
    </w:p>
    <w:p w14:paraId="63842795" w14:textId="4D0EE83C" w:rsidR="00583BD1" w:rsidRPr="003D0727" w:rsidRDefault="00583BD1" w:rsidP="007C158B">
      <w:pPr>
        <w:rPr>
          <w:rStyle w:val="Strong"/>
          <w:rFonts w:ascii="Times New Roman" w:eastAsia="Times New Roman" w:hAnsi="Times New Roman" w:cs="Times New Roman"/>
          <w:b w:val="0"/>
          <w:bCs w:val="0"/>
          <w:color w:val="000000"/>
          <w:sz w:val="24"/>
          <w:szCs w:val="24"/>
          <w:shd w:val="clear" w:color="auto" w:fill="FFFFFF"/>
          <w:lang w:eastAsia="zh-CN"/>
        </w:rPr>
      </w:pPr>
      <w:r w:rsidRPr="003D0727">
        <w:rPr>
          <w:rStyle w:val="Strong"/>
          <w:rFonts w:ascii="Times New Roman" w:eastAsia="Times New Roman" w:hAnsi="Times New Roman" w:cs="Times New Roman"/>
          <w:b w:val="0"/>
          <w:bCs w:val="0"/>
          <w:color w:val="000000"/>
          <w:sz w:val="24"/>
          <w:szCs w:val="24"/>
          <w:shd w:val="clear" w:color="auto" w:fill="FFFFFF"/>
          <w:lang w:eastAsia="zh-CN"/>
        </w:rPr>
        <w:t>In Jamaica, harmful social norms, attitudes, behaviours, and practices, particularly discriminatory gender norms and inequitable power relations between women and men, are root causes of family violence. The patriarchal system in Jamaica holds values, beliefs and practices that privilege men and their normative roles in society over those of women. In this context, violence is accepted as an integral part of normal gender relations. These normalized beliefs and practices also engender a culture of impunity for family violence. The concept of male power within the home remains a major driver for intimate partner violence in Jamaica. Over 70% of women in Jamaica believe that the man is the head of the household, which speaks to normative ideas about gender roles and gender power imbalances. This informs what persons come to identify as acceptable behaviours from the male partners and how women exercise or not exercise agency within the home – which lead to violence. This culture of violence within families often results in generational violence, as children who observe their mothers being beaten are more likely to be perpetrators themselves or victims of IPV and other violent behaviour.</w:t>
      </w:r>
    </w:p>
    <w:p w14:paraId="150A00F6" w14:textId="0D3FBA8E" w:rsidR="00F148F5" w:rsidRPr="003D0727" w:rsidRDefault="00583BD1" w:rsidP="00583BD1">
      <w:pPr>
        <w:spacing w:after="120"/>
        <w:rPr>
          <w:rStyle w:val="Strong"/>
          <w:rFonts w:ascii="Times New Roman" w:eastAsia="Times New Roman" w:hAnsi="Times New Roman" w:cs="Times New Roman"/>
          <w:b w:val="0"/>
          <w:bCs w:val="0"/>
          <w:color w:val="000000"/>
          <w:sz w:val="24"/>
          <w:szCs w:val="24"/>
          <w:shd w:val="clear" w:color="auto" w:fill="FFFFFF"/>
          <w:lang w:eastAsia="zh-CN"/>
        </w:rPr>
      </w:pPr>
      <w:r w:rsidRPr="003D0727">
        <w:rPr>
          <w:rStyle w:val="Strong"/>
          <w:rFonts w:ascii="Times New Roman" w:eastAsia="Times New Roman" w:hAnsi="Times New Roman" w:cs="Times New Roman"/>
          <w:b w:val="0"/>
          <w:bCs w:val="0"/>
          <w:color w:val="000000"/>
          <w:sz w:val="24"/>
          <w:szCs w:val="24"/>
          <w:shd w:val="clear" w:color="auto" w:fill="FFFFFF"/>
          <w:lang w:eastAsia="zh-CN"/>
        </w:rPr>
        <w:t>Global estimates show that 1 in 3 women worldwide experiences either physical and/or sexual violence, mostly by an intimate partner at some point in their lives.  Notwithstanding progress made in advancing gender equality and women’s and girl’s empowerment, gender discrimination, including its worst manifestations and forms, such as violence against women and girls, continue to adversely impact all the dimensions of sustainable development in Jamaica. The country continues to be among those globally with the highest rates of crime and violence, with some crimes exceeding both global and regional averages. Whilst there is evidence that overall crime rate has been trending down, violence in the home continues to be high. Within this context, women and girls are disproportionately affected. Data indicates that 8% of the victims of selected major crimes were children and 60% of these were girls. One-fifth of Jamaican women report that they were sexually abused as children. Among women who report sexual violence as children, the main perpetrators were friends or acquaintances (22.9%), complete strangers (16.5%) and family members other than parents or siblings (15.9%).</w:t>
      </w:r>
      <w:r w:rsidR="0078739D" w:rsidRPr="003D0727">
        <w:rPr>
          <w:rStyle w:val="Strong"/>
          <w:rFonts w:ascii="Times New Roman" w:eastAsia="Times New Roman" w:hAnsi="Times New Roman" w:cs="Times New Roman"/>
          <w:b w:val="0"/>
          <w:bCs w:val="0"/>
          <w:color w:val="000000"/>
          <w:sz w:val="24"/>
          <w:szCs w:val="24"/>
          <w:shd w:val="clear" w:color="auto" w:fill="FFFFFF"/>
          <w:lang w:eastAsia="zh-CN"/>
        </w:rPr>
        <w:br/>
      </w:r>
      <w:r w:rsidR="00F148F5" w:rsidRPr="003D0727">
        <w:rPr>
          <w:rStyle w:val="Strong"/>
          <w:rFonts w:ascii="Times New Roman" w:eastAsia="Times New Roman" w:hAnsi="Times New Roman" w:cs="Times New Roman"/>
          <w:b w:val="0"/>
          <w:bCs w:val="0"/>
          <w:color w:val="000000"/>
          <w:sz w:val="24"/>
          <w:szCs w:val="24"/>
          <w:shd w:val="clear" w:color="auto" w:fill="FFFFFF"/>
          <w:lang w:eastAsia="zh-CN"/>
        </w:rPr>
        <w:br/>
      </w:r>
      <w:r w:rsidR="00F148F5" w:rsidRPr="003D0727">
        <w:rPr>
          <w:rStyle w:val="Strong"/>
          <w:rFonts w:ascii="Times New Roman" w:eastAsia="Times New Roman" w:hAnsi="Times New Roman" w:cs="Times New Roman"/>
          <w:b w:val="0"/>
          <w:bCs w:val="0"/>
          <w:color w:val="000000"/>
          <w:szCs w:val="24"/>
          <w:shd w:val="clear" w:color="auto" w:fill="FFFFFF"/>
          <w:lang w:eastAsia="zh-CN"/>
        </w:rPr>
        <w:footnoteReference w:id="1"/>
      </w:r>
      <w:r w:rsidR="00F148F5" w:rsidRPr="003D0727">
        <w:rPr>
          <w:rStyle w:val="Strong"/>
          <w:rFonts w:ascii="Times New Roman" w:eastAsia="Times New Roman" w:hAnsi="Times New Roman" w:cs="Times New Roman"/>
          <w:b w:val="0"/>
          <w:bCs w:val="0"/>
          <w:color w:val="000000"/>
          <w:sz w:val="24"/>
          <w:szCs w:val="24"/>
          <w:shd w:val="clear" w:color="auto" w:fill="FFFFFF"/>
          <w:lang w:eastAsia="zh-CN"/>
        </w:rPr>
        <w:t xml:space="preserve">While there has been some significant but uneven progress achieved in advancing women's and girls' rights, no country in the world is on track to achieve gender equality and empower all women and girls by 2030. Moreover, the health and socio-economic consequences of the COVID-19 crisis are disproportionately affecting women and girls. For example, because a higher proportion of women work informally and in vulnerable sectors, their job loss rate was 1.8 times greater than that of men. The poverty rate among women could go up by 9.1%. According to the World Bank, like other nations, the impact of COVID-19 on poverty in Jamaica has had a tremendous effect on working women. About 78% of healthcare and humanitarian employees and 55% of staff in industries highly susceptible to COVID-19, such as retail, </w:t>
      </w:r>
      <w:r w:rsidR="00F148F5" w:rsidRPr="003D0727">
        <w:rPr>
          <w:rStyle w:val="Strong"/>
          <w:rFonts w:ascii="Times New Roman" w:eastAsia="Times New Roman" w:hAnsi="Times New Roman" w:cs="Times New Roman"/>
          <w:b w:val="0"/>
          <w:bCs w:val="0"/>
          <w:color w:val="000000"/>
          <w:sz w:val="24"/>
          <w:szCs w:val="24"/>
          <w:shd w:val="clear" w:color="auto" w:fill="FFFFFF"/>
          <w:lang w:eastAsia="zh-CN"/>
        </w:rPr>
        <w:lastRenderedPageBreak/>
        <w:t>hospitality and education, are women. The Inter-American Development Bank stated that women have always had lower-income and less stable employment than men in Jamaica. Now, females are suffering more than males once again, because of higher unemployment rates and business closures due to the Covid-19 pandemic. In addition, with less money, more single mothers are unable to purchase sufficient meals compared to males.</w:t>
      </w:r>
      <w:r w:rsidR="00F148F5" w:rsidRPr="003D0727">
        <w:rPr>
          <w:rStyle w:val="Strong"/>
          <w:rFonts w:ascii="Times New Roman" w:eastAsia="Times New Roman" w:hAnsi="Times New Roman" w:cs="Times New Roman"/>
          <w:b w:val="0"/>
          <w:bCs w:val="0"/>
          <w:sz w:val="24"/>
          <w:szCs w:val="24"/>
          <w:shd w:val="clear" w:color="auto" w:fill="FFFFFF"/>
          <w:lang w:eastAsia="zh-CN"/>
        </w:rPr>
        <w:t xml:space="preserve"> </w:t>
      </w:r>
    </w:p>
    <w:p w14:paraId="3688753E" w14:textId="67D06FEF" w:rsidR="00F148F5" w:rsidRPr="000955D2" w:rsidRDefault="000A5F61" w:rsidP="00F148F5">
      <w:pPr>
        <w:pStyle w:val="NormalWeb"/>
        <w:shd w:val="clear" w:color="auto" w:fill="FFFFFF"/>
        <w:spacing w:before="120"/>
        <w:rPr>
          <w:rStyle w:val="Strong"/>
          <w:b w:val="0"/>
          <w:bCs w:val="0"/>
          <w:color w:val="000000"/>
          <w:shd w:val="clear" w:color="auto" w:fill="FFFFFF"/>
        </w:rPr>
      </w:pPr>
      <w:r>
        <w:rPr>
          <w:rStyle w:val="Strong"/>
          <w:b w:val="0"/>
          <w:bCs w:val="0"/>
          <w:color w:val="000000"/>
          <w:shd w:val="clear" w:color="auto" w:fill="FFFFFF"/>
          <w:lang w:val="en-US"/>
        </w:rPr>
        <w:br/>
      </w:r>
      <w:r w:rsidR="00F148F5" w:rsidRPr="000955D2">
        <w:rPr>
          <w:rStyle w:val="Strong"/>
          <w:b w:val="0"/>
          <w:bCs w:val="0"/>
          <w:color w:val="000000"/>
          <w:shd w:val="clear" w:color="auto" w:fill="FFFFFF"/>
          <w:lang w:val="en-US"/>
        </w:rPr>
        <w:t>Latin America and the Caribbean is the most violent region on the planet, accounting for 39 per cent of the world's murders while Jamaica recorded the second highest murder rate in the Latin America and Caribbean region in 2019. Since the mid 1970’s Jamaica’s per capita murder rate steadily increased by an average of 4.4 per cent per year, from 19.8 per 100, 000 in 1977, to 60 per 100, 000 in 2017</w:t>
      </w:r>
      <w:r w:rsidR="00CD22C4">
        <w:rPr>
          <w:rStyle w:val="Strong"/>
          <w:b w:val="0"/>
          <w:bCs w:val="0"/>
          <w:color w:val="000000"/>
          <w:shd w:val="clear" w:color="auto" w:fill="FFFFFF"/>
          <w:lang w:val="en-US"/>
        </w:rPr>
        <w:t xml:space="preserve">. </w:t>
      </w:r>
      <w:r w:rsidR="00F148F5" w:rsidRPr="00E1571F">
        <w:rPr>
          <w:rStyle w:val="Strong"/>
          <w:b w:val="0"/>
          <w:bCs w:val="0"/>
          <w:vertAlign w:val="subscript"/>
        </w:rPr>
        <w:footnoteReference w:id="2"/>
      </w:r>
      <w:r w:rsidR="00F148F5" w:rsidRPr="000955D2">
        <w:rPr>
          <w:rStyle w:val="Strong"/>
          <w:b w:val="0"/>
          <w:bCs w:val="0"/>
          <w:color w:val="000000"/>
          <w:shd w:val="clear" w:color="auto" w:fill="FFFFFF"/>
          <w:lang w:val="en-US"/>
        </w:rPr>
        <w:t xml:space="preserve"> With a global average homicide rate of 6.1, even in Jamaica’s more peaceful times, the country was still one of the most violent in the world. </w:t>
      </w:r>
      <w:r w:rsidR="00F148F5" w:rsidRPr="000955D2">
        <w:rPr>
          <w:rStyle w:val="Strong"/>
          <w:b w:val="0"/>
          <w:bCs w:val="0"/>
          <w:shd w:val="clear" w:color="auto" w:fill="FFFFFF"/>
        </w:rPr>
        <w:t xml:space="preserve">Forbes Magazine listed Jamaica as the third most dangerous place for women </w:t>
      </w:r>
      <w:r w:rsidR="008D0B6F" w:rsidRPr="000955D2">
        <w:rPr>
          <w:rStyle w:val="Strong"/>
          <w:b w:val="0"/>
          <w:bCs w:val="0"/>
          <w:shd w:val="clear" w:color="auto" w:fill="FFFFFF"/>
        </w:rPr>
        <w:t>travellers</w:t>
      </w:r>
      <w:r w:rsidR="00F148F5" w:rsidRPr="000955D2">
        <w:rPr>
          <w:rStyle w:val="Strong"/>
          <w:b w:val="0"/>
          <w:bCs w:val="0"/>
          <w:shd w:val="clear" w:color="auto" w:fill="FFFFFF"/>
        </w:rPr>
        <w:t xml:space="preserve"> in 2017. In 2018, Business Insider ranked Jamaica 10th among 20 of the most dangerous places in the world. The International Monetary Fund (IMF) recently cited crime as the number one impediment to economic growth. Gangs, organized crime, and violence, and the nexus between them are Jamaica’s biggest citizen security challenge. Jamaica’s extreme violence is often attributed to gangs. Between 2008 and 2018, gang related violence was responsible for 56% of murders in Jamaica, with a high of 78% in 2013. The number of gangs in Jamaica increased from 191 in 2010 to 381 in 2018, with Kingston &amp; St. Andrew experiencing most of the increases. As the number of gangs has increased, so has the murder rate as these gangs are well armed and able to virtually grow currency to purchase new, high-powered weapons. The majority of murders in Jamaica are committed with the gun. Between 2010 and 2018, 76% of murders were committed using firearms</w:t>
      </w:r>
      <w:r w:rsidR="00A01D15">
        <w:rPr>
          <w:rStyle w:val="Strong"/>
          <w:b w:val="0"/>
          <w:bCs w:val="0"/>
          <w:shd w:val="clear" w:color="auto" w:fill="FFFFFF"/>
        </w:rPr>
        <w:t xml:space="preserve"> </w:t>
      </w:r>
      <w:r w:rsidR="00F148F5" w:rsidRPr="00A01D15">
        <w:rPr>
          <w:rStyle w:val="Strong"/>
          <w:b w:val="0"/>
          <w:bCs w:val="0"/>
          <w:shd w:val="clear" w:color="auto" w:fill="FFFFFF"/>
          <w:vertAlign w:val="subscript"/>
        </w:rPr>
        <w:footnoteReference w:id="3"/>
      </w:r>
      <w:r w:rsidR="00F148F5" w:rsidRPr="000955D2">
        <w:rPr>
          <w:rStyle w:val="Strong"/>
          <w:b w:val="0"/>
          <w:bCs w:val="0"/>
          <w:shd w:val="clear" w:color="auto" w:fill="FFFFFF"/>
        </w:rPr>
        <w:t xml:space="preserve">. </w:t>
      </w:r>
    </w:p>
    <w:p w14:paraId="606EB64E" w14:textId="1B63AC82" w:rsidR="0078607C" w:rsidRDefault="00F148F5" w:rsidP="004A3A41">
      <w:pPr>
        <w:pStyle w:val="NormalWeb"/>
        <w:shd w:val="clear" w:color="auto" w:fill="FFFFFF"/>
        <w:jc w:val="left"/>
        <w:rPr>
          <w:lang w:eastAsia="en-GB"/>
        </w:rPr>
      </w:pPr>
      <w:r w:rsidRPr="007756A8">
        <w:rPr>
          <w:color w:val="222222"/>
          <w:shd w:val="clear" w:color="auto" w:fill="FFFFFF"/>
        </w:rPr>
        <w:br/>
      </w:r>
      <w:r w:rsidRPr="000955D2">
        <w:rPr>
          <w:rStyle w:val="Strong"/>
          <w:b w:val="0"/>
          <w:bCs w:val="0"/>
          <w:color w:val="000000"/>
          <w:lang w:val="en-US"/>
        </w:rPr>
        <w:t>Crime, particularly murders and shootings, in Jamaica has two main features – one is its high concentration in the major urban areas; the other is the high involvement of youth between the ages of 16 and 25 years old both as perpetrators and victims.</w:t>
      </w:r>
      <w:r w:rsidRPr="000955D2">
        <w:rPr>
          <w:rStyle w:val="Strong"/>
          <w:b w:val="0"/>
          <w:bCs w:val="0"/>
          <w:color w:val="000000"/>
          <w:lang w:val="en-US"/>
        </w:rPr>
        <w:footnoteReference w:id="4"/>
      </w:r>
      <w:r w:rsidRPr="000955D2">
        <w:rPr>
          <w:rStyle w:val="Strong"/>
          <w:b w:val="0"/>
          <w:bCs w:val="0"/>
          <w:color w:val="000000"/>
          <w:lang w:val="en-US"/>
        </w:rPr>
        <w:t xml:space="preserve"> Data shows that 75% of all crimes in Jamaica are committed by persons under the age of 30. Youth ages 15 – 24 are the largest subgroup of perpetrators and primary victims of violent crimes, while males in this cohort perpetrate 98% of major crimes in Jamaica. The continued high levels of shootings and murders over the years have been attributed to several factors including poverty, political tribalism, and the development of a sub-culture of violence through the proliferation of criminal gangs. A study by Moser and Holland on violence in Kingston revealed that residents of poor communities attributed the high level of crime and violence to a lack of economic opportunities and cited poverty as the reason for the prevalence of drug related crime. The 2016 Crime Victimization survey echoed these sentiments where 78% of respondents cited poverty and unemployment as the major causes of crime and violence in Jamaica</w:t>
      </w:r>
      <w:r w:rsidRPr="000955D2">
        <w:rPr>
          <w:rStyle w:val="Strong"/>
          <w:b w:val="0"/>
          <w:bCs w:val="0"/>
          <w:color w:val="000000"/>
          <w:lang w:val="en-US"/>
        </w:rPr>
        <w:footnoteReference w:id="5"/>
      </w:r>
      <w:r w:rsidRPr="000955D2">
        <w:rPr>
          <w:rStyle w:val="Strong"/>
          <w:b w:val="0"/>
          <w:bCs w:val="0"/>
          <w:color w:val="000000"/>
          <w:lang w:val="en-US"/>
        </w:rPr>
        <w:t>.</w:t>
      </w:r>
      <w:r>
        <w:rPr>
          <w:lang w:eastAsia="en-GB"/>
        </w:rPr>
        <w:br/>
      </w:r>
      <w:r w:rsidR="001126AC">
        <w:rPr>
          <w:lang w:eastAsia="en-GB"/>
        </w:rPr>
        <w:br/>
      </w:r>
      <w:r w:rsidRPr="00062C75">
        <w:rPr>
          <w:rStyle w:val="Strong"/>
          <w:b w:val="0"/>
          <w:bCs w:val="0"/>
          <w:color w:val="000000"/>
          <w:lang w:val="en-US"/>
        </w:rPr>
        <w:t xml:space="preserve">Young people possess the greatest understanding of their own needs and the creativity and </w:t>
      </w:r>
      <w:r w:rsidRPr="00062C75">
        <w:rPr>
          <w:rStyle w:val="Strong"/>
          <w:b w:val="0"/>
          <w:bCs w:val="0"/>
          <w:color w:val="000000"/>
          <w:lang w:val="en-US"/>
        </w:rPr>
        <w:lastRenderedPageBreak/>
        <w:t>energy to see old problems in new ways. Youth participation in program design and delivery can drive innovation, increase retention of program participants, lead to longer-lasting program outcomes, and positively impact surrounding systems. Impactful youth engagement begins with the Positive Youth Development (PYD) philosophy that sees young people as assets rather than “problems to be solved.” When we recognize that young people must be the primary drivers of their own development, with adults and systems playing a supporting role, we understand that anything done for youth without youth runs the risk of failure.</w:t>
      </w:r>
      <w:r w:rsidR="007C158B">
        <w:rPr>
          <w:lang w:eastAsia="en-GB"/>
        </w:rPr>
        <w:br/>
      </w:r>
      <w:r w:rsidR="00BE5DBB">
        <w:rPr>
          <w:lang w:eastAsia="en-GB"/>
        </w:rPr>
        <w:br/>
        <w:t>RISE Life Management Services was awarded a grant by the European Union to implement the Civil Society Boost Initiative: Phase 3 over a 30 month period beginning December 2022 and ending May 2025. As part of this grant, RISE proposed the implementation of a Financial Support to Third Parties component</w:t>
      </w:r>
      <w:r w:rsidR="002C704B">
        <w:rPr>
          <w:lang w:eastAsia="en-GB"/>
        </w:rPr>
        <w:t xml:space="preserve"> which will provide sub granting opportunities to smaller CSOs in Jamaica.</w:t>
      </w:r>
    </w:p>
    <w:p w14:paraId="55403275" w14:textId="77777777" w:rsidR="0078607C" w:rsidRDefault="0078607C" w:rsidP="004A3A41">
      <w:pPr>
        <w:pStyle w:val="NormalWeb"/>
        <w:shd w:val="clear" w:color="auto" w:fill="FFFFFF"/>
        <w:jc w:val="left"/>
        <w:rPr>
          <w:lang w:eastAsia="en-GB"/>
        </w:rPr>
      </w:pPr>
    </w:p>
    <w:p w14:paraId="1C202533" w14:textId="77777777" w:rsidR="0078607C" w:rsidRDefault="0078607C" w:rsidP="004A3A41">
      <w:pPr>
        <w:pStyle w:val="NormalWeb"/>
        <w:shd w:val="clear" w:color="auto" w:fill="FFFFFF"/>
        <w:jc w:val="left"/>
        <w:rPr>
          <w:lang w:eastAsia="en-GB"/>
        </w:rPr>
      </w:pPr>
    </w:p>
    <w:p w14:paraId="65FFEFA4" w14:textId="77777777" w:rsidR="0078607C" w:rsidRDefault="0078607C" w:rsidP="004A3A41">
      <w:pPr>
        <w:pStyle w:val="NormalWeb"/>
        <w:shd w:val="clear" w:color="auto" w:fill="FFFFFF"/>
        <w:jc w:val="left"/>
        <w:rPr>
          <w:lang w:eastAsia="en-GB"/>
        </w:rPr>
      </w:pPr>
    </w:p>
    <w:p w14:paraId="0845E8EE" w14:textId="77777777" w:rsidR="0078607C" w:rsidRDefault="0078607C" w:rsidP="004A3A41">
      <w:pPr>
        <w:pStyle w:val="NormalWeb"/>
        <w:shd w:val="clear" w:color="auto" w:fill="FFFFFF"/>
        <w:jc w:val="left"/>
        <w:rPr>
          <w:lang w:eastAsia="en-GB"/>
        </w:rPr>
      </w:pPr>
    </w:p>
    <w:p w14:paraId="5DD56D2F" w14:textId="77777777" w:rsidR="0078607C" w:rsidRDefault="0078607C" w:rsidP="004A3A41">
      <w:pPr>
        <w:pStyle w:val="NormalWeb"/>
        <w:shd w:val="clear" w:color="auto" w:fill="FFFFFF"/>
        <w:jc w:val="left"/>
        <w:rPr>
          <w:lang w:eastAsia="en-GB"/>
        </w:rPr>
      </w:pPr>
    </w:p>
    <w:p w14:paraId="78F3AD28" w14:textId="77777777" w:rsidR="0078607C" w:rsidRDefault="0078607C" w:rsidP="004A3A41">
      <w:pPr>
        <w:pStyle w:val="NormalWeb"/>
        <w:shd w:val="clear" w:color="auto" w:fill="FFFFFF"/>
        <w:jc w:val="left"/>
        <w:rPr>
          <w:lang w:eastAsia="en-GB"/>
        </w:rPr>
      </w:pPr>
    </w:p>
    <w:p w14:paraId="31B87119" w14:textId="77777777" w:rsidR="0078607C" w:rsidRDefault="0078607C" w:rsidP="004A3A41">
      <w:pPr>
        <w:pStyle w:val="NormalWeb"/>
        <w:shd w:val="clear" w:color="auto" w:fill="FFFFFF"/>
        <w:jc w:val="left"/>
        <w:rPr>
          <w:lang w:eastAsia="en-GB"/>
        </w:rPr>
      </w:pPr>
    </w:p>
    <w:p w14:paraId="6BE27672" w14:textId="77777777" w:rsidR="0078607C" w:rsidRDefault="0078607C" w:rsidP="004A3A41">
      <w:pPr>
        <w:pStyle w:val="NormalWeb"/>
        <w:shd w:val="clear" w:color="auto" w:fill="FFFFFF"/>
        <w:jc w:val="left"/>
        <w:rPr>
          <w:lang w:eastAsia="en-GB"/>
        </w:rPr>
      </w:pPr>
    </w:p>
    <w:p w14:paraId="5A7BF8F9" w14:textId="77777777" w:rsidR="0078607C" w:rsidRDefault="0078607C" w:rsidP="004A3A41">
      <w:pPr>
        <w:pStyle w:val="NormalWeb"/>
        <w:shd w:val="clear" w:color="auto" w:fill="FFFFFF"/>
        <w:jc w:val="left"/>
        <w:rPr>
          <w:lang w:eastAsia="en-GB"/>
        </w:rPr>
      </w:pPr>
    </w:p>
    <w:p w14:paraId="0790D412" w14:textId="77777777" w:rsidR="0078607C" w:rsidRDefault="0078607C" w:rsidP="004A3A41">
      <w:pPr>
        <w:pStyle w:val="NormalWeb"/>
        <w:shd w:val="clear" w:color="auto" w:fill="FFFFFF"/>
        <w:jc w:val="left"/>
        <w:rPr>
          <w:lang w:eastAsia="en-GB"/>
        </w:rPr>
      </w:pPr>
    </w:p>
    <w:p w14:paraId="41CD4F95" w14:textId="77777777" w:rsidR="0078607C" w:rsidRDefault="0078607C" w:rsidP="004A3A41">
      <w:pPr>
        <w:pStyle w:val="NormalWeb"/>
        <w:shd w:val="clear" w:color="auto" w:fill="FFFFFF"/>
        <w:jc w:val="left"/>
        <w:rPr>
          <w:lang w:eastAsia="en-GB"/>
        </w:rPr>
      </w:pPr>
    </w:p>
    <w:p w14:paraId="5E5879D3" w14:textId="77777777" w:rsidR="0078607C" w:rsidRDefault="0078607C" w:rsidP="004A3A41">
      <w:pPr>
        <w:pStyle w:val="NormalWeb"/>
        <w:shd w:val="clear" w:color="auto" w:fill="FFFFFF"/>
        <w:jc w:val="left"/>
        <w:rPr>
          <w:lang w:eastAsia="en-GB"/>
        </w:rPr>
      </w:pPr>
    </w:p>
    <w:p w14:paraId="4210F35B" w14:textId="77777777" w:rsidR="0078607C" w:rsidRDefault="0078607C" w:rsidP="004A3A41">
      <w:pPr>
        <w:pStyle w:val="NormalWeb"/>
        <w:shd w:val="clear" w:color="auto" w:fill="FFFFFF"/>
        <w:jc w:val="left"/>
        <w:rPr>
          <w:lang w:eastAsia="en-GB"/>
        </w:rPr>
      </w:pPr>
    </w:p>
    <w:p w14:paraId="12C6AD67" w14:textId="77777777" w:rsidR="0078607C" w:rsidRDefault="0078607C" w:rsidP="004A3A41">
      <w:pPr>
        <w:pStyle w:val="NormalWeb"/>
        <w:shd w:val="clear" w:color="auto" w:fill="FFFFFF"/>
        <w:jc w:val="left"/>
        <w:rPr>
          <w:lang w:eastAsia="en-GB"/>
        </w:rPr>
      </w:pPr>
    </w:p>
    <w:p w14:paraId="238B8AF0" w14:textId="77777777" w:rsidR="0078607C" w:rsidRDefault="0078607C" w:rsidP="004A3A41">
      <w:pPr>
        <w:pStyle w:val="NormalWeb"/>
        <w:shd w:val="clear" w:color="auto" w:fill="FFFFFF"/>
        <w:jc w:val="left"/>
        <w:rPr>
          <w:lang w:eastAsia="en-GB"/>
        </w:rPr>
      </w:pPr>
    </w:p>
    <w:p w14:paraId="1C473BFB" w14:textId="77777777" w:rsidR="0078607C" w:rsidRDefault="0078607C" w:rsidP="004A3A41">
      <w:pPr>
        <w:pStyle w:val="NormalWeb"/>
        <w:shd w:val="clear" w:color="auto" w:fill="FFFFFF"/>
        <w:jc w:val="left"/>
        <w:rPr>
          <w:lang w:eastAsia="en-GB"/>
        </w:rPr>
      </w:pPr>
    </w:p>
    <w:p w14:paraId="432E4F0D" w14:textId="77777777" w:rsidR="0078607C" w:rsidRDefault="0078607C" w:rsidP="004A3A41">
      <w:pPr>
        <w:pStyle w:val="NormalWeb"/>
        <w:shd w:val="clear" w:color="auto" w:fill="FFFFFF"/>
        <w:jc w:val="left"/>
        <w:rPr>
          <w:lang w:eastAsia="en-GB"/>
        </w:rPr>
      </w:pPr>
    </w:p>
    <w:p w14:paraId="014316F5" w14:textId="77777777" w:rsidR="0078607C" w:rsidRDefault="0078607C" w:rsidP="004A3A41">
      <w:pPr>
        <w:pStyle w:val="NormalWeb"/>
        <w:shd w:val="clear" w:color="auto" w:fill="FFFFFF"/>
        <w:jc w:val="left"/>
        <w:rPr>
          <w:lang w:eastAsia="en-GB"/>
        </w:rPr>
      </w:pPr>
    </w:p>
    <w:p w14:paraId="3E5D6384" w14:textId="77777777" w:rsidR="0078607C" w:rsidRDefault="0078607C" w:rsidP="004A3A41">
      <w:pPr>
        <w:pStyle w:val="NormalWeb"/>
        <w:shd w:val="clear" w:color="auto" w:fill="FFFFFF"/>
        <w:jc w:val="left"/>
        <w:rPr>
          <w:lang w:eastAsia="en-GB"/>
        </w:rPr>
      </w:pPr>
    </w:p>
    <w:p w14:paraId="1373A19B" w14:textId="77777777" w:rsidR="0078607C" w:rsidRDefault="0078607C" w:rsidP="004A3A41">
      <w:pPr>
        <w:pStyle w:val="NormalWeb"/>
        <w:shd w:val="clear" w:color="auto" w:fill="FFFFFF"/>
        <w:jc w:val="left"/>
        <w:rPr>
          <w:lang w:eastAsia="en-GB"/>
        </w:rPr>
      </w:pPr>
    </w:p>
    <w:p w14:paraId="0EF573BB" w14:textId="77777777" w:rsidR="0078607C" w:rsidRDefault="0078607C" w:rsidP="004A3A41">
      <w:pPr>
        <w:pStyle w:val="NormalWeb"/>
        <w:shd w:val="clear" w:color="auto" w:fill="FFFFFF"/>
        <w:jc w:val="left"/>
        <w:rPr>
          <w:lang w:eastAsia="en-GB"/>
        </w:rPr>
      </w:pPr>
    </w:p>
    <w:p w14:paraId="451BD7E7" w14:textId="77777777" w:rsidR="0078607C" w:rsidRDefault="0078607C" w:rsidP="004A3A41">
      <w:pPr>
        <w:pStyle w:val="NormalWeb"/>
        <w:shd w:val="clear" w:color="auto" w:fill="FFFFFF"/>
        <w:jc w:val="left"/>
        <w:rPr>
          <w:lang w:eastAsia="en-GB"/>
        </w:rPr>
      </w:pPr>
    </w:p>
    <w:p w14:paraId="42C555D6" w14:textId="77777777" w:rsidR="0078607C" w:rsidRDefault="0078607C" w:rsidP="004A3A41">
      <w:pPr>
        <w:pStyle w:val="NormalWeb"/>
        <w:shd w:val="clear" w:color="auto" w:fill="FFFFFF"/>
        <w:jc w:val="left"/>
        <w:rPr>
          <w:lang w:eastAsia="en-GB"/>
        </w:rPr>
      </w:pPr>
    </w:p>
    <w:p w14:paraId="2BD68F83" w14:textId="77777777" w:rsidR="0078607C" w:rsidRDefault="0078607C" w:rsidP="004A3A41">
      <w:pPr>
        <w:pStyle w:val="NormalWeb"/>
        <w:shd w:val="clear" w:color="auto" w:fill="FFFFFF"/>
        <w:jc w:val="left"/>
        <w:rPr>
          <w:lang w:eastAsia="en-GB"/>
        </w:rPr>
      </w:pPr>
    </w:p>
    <w:p w14:paraId="489D6D04" w14:textId="77777777" w:rsidR="0078607C" w:rsidRDefault="0078607C" w:rsidP="004A3A41">
      <w:pPr>
        <w:pStyle w:val="NormalWeb"/>
        <w:shd w:val="clear" w:color="auto" w:fill="FFFFFF"/>
        <w:jc w:val="left"/>
        <w:rPr>
          <w:lang w:eastAsia="en-GB"/>
        </w:rPr>
      </w:pPr>
    </w:p>
    <w:p w14:paraId="003712DE" w14:textId="77777777" w:rsidR="0078607C" w:rsidRDefault="0078607C" w:rsidP="004A3A41">
      <w:pPr>
        <w:pStyle w:val="NormalWeb"/>
        <w:shd w:val="clear" w:color="auto" w:fill="FFFFFF"/>
        <w:jc w:val="left"/>
        <w:rPr>
          <w:lang w:eastAsia="en-GB"/>
        </w:rPr>
      </w:pPr>
    </w:p>
    <w:p w14:paraId="0F2756C9" w14:textId="77777777" w:rsidR="0078607C" w:rsidRDefault="0078607C" w:rsidP="004A3A41">
      <w:pPr>
        <w:pStyle w:val="NormalWeb"/>
        <w:shd w:val="clear" w:color="auto" w:fill="FFFFFF"/>
        <w:jc w:val="left"/>
        <w:rPr>
          <w:lang w:eastAsia="en-GB"/>
        </w:rPr>
      </w:pPr>
    </w:p>
    <w:p w14:paraId="715F592D" w14:textId="77777777" w:rsidR="0078607C" w:rsidRDefault="0078607C" w:rsidP="004A3A41">
      <w:pPr>
        <w:pStyle w:val="NormalWeb"/>
        <w:shd w:val="clear" w:color="auto" w:fill="FFFFFF"/>
        <w:jc w:val="left"/>
        <w:rPr>
          <w:lang w:eastAsia="en-GB"/>
        </w:rPr>
        <w:sectPr w:rsidR="0078607C" w:rsidSect="007A3FEF">
          <w:pgSz w:w="12240" w:h="15840"/>
          <w:pgMar w:top="1440" w:right="1440" w:bottom="1440" w:left="1440" w:header="720" w:footer="720" w:gutter="0"/>
          <w:cols w:space="720"/>
          <w:docGrid w:linePitch="360"/>
        </w:sectPr>
      </w:pPr>
    </w:p>
    <w:p w14:paraId="3BD39DF5" w14:textId="142DB6CC" w:rsidR="00F148F5" w:rsidRPr="00504BF0" w:rsidRDefault="00C2103F" w:rsidP="004A3A41">
      <w:pPr>
        <w:pStyle w:val="NormalWeb"/>
        <w:shd w:val="clear" w:color="auto" w:fill="FFFFFF"/>
        <w:jc w:val="left"/>
        <w:rPr>
          <w:lang w:eastAsia="en-GB"/>
        </w:rPr>
      </w:pPr>
      <w:r>
        <w:rPr>
          <w:lang w:eastAsia="en-GB"/>
        </w:rPr>
        <w:lastRenderedPageBreak/>
        <w:t xml:space="preserve">NB. </w:t>
      </w:r>
      <w:r w:rsidR="00617DF1">
        <w:rPr>
          <w:lang w:eastAsia="en-GB"/>
        </w:rPr>
        <w:t xml:space="preserve">There are two </w:t>
      </w:r>
      <w:r w:rsidR="00617DF1" w:rsidRPr="006F0AE0">
        <w:rPr>
          <w:b/>
          <w:bCs/>
          <w:lang w:eastAsia="en-GB"/>
        </w:rPr>
        <w:t>L</w:t>
      </w:r>
      <w:r w:rsidR="006F0AE0" w:rsidRPr="006F0AE0">
        <w:rPr>
          <w:b/>
          <w:bCs/>
          <w:lang w:eastAsia="en-GB"/>
        </w:rPr>
        <w:t>ots</w:t>
      </w:r>
      <w:r w:rsidR="00617DF1">
        <w:rPr>
          <w:lang w:eastAsia="en-GB"/>
        </w:rPr>
        <w:t xml:space="preserve"> for this Call: </w:t>
      </w:r>
      <w:r w:rsidR="00617DF1">
        <w:rPr>
          <w:lang w:eastAsia="en-GB"/>
        </w:rPr>
        <w:br/>
      </w:r>
      <w:r w:rsidR="00617DF1">
        <w:rPr>
          <w:lang w:eastAsia="en-GB"/>
        </w:rPr>
        <w:br/>
        <w:t xml:space="preserve">Lot 1 </w:t>
      </w:r>
      <w:r w:rsidR="005115B1">
        <w:rPr>
          <w:lang w:eastAsia="en-GB"/>
        </w:rPr>
        <w:t>–</w:t>
      </w:r>
      <w:r w:rsidR="00617DF1">
        <w:rPr>
          <w:lang w:eastAsia="en-GB"/>
        </w:rPr>
        <w:t xml:space="preserve"> </w:t>
      </w:r>
      <w:r w:rsidR="005115B1">
        <w:rPr>
          <w:lang w:eastAsia="en-GB"/>
        </w:rPr>
        <w:t xml:space="preserve">Actions </w:t>
      </w:r>
      <w:r w:rsidR="00005559">
        <w:rPr>
          <w:lang w:eastAsia="en-GB"/>
        </w:rPr>
        <w:t>focusing on Gender Equality</w:t>
      </w:r>
      <w:r w:rsidR="005115B1">
        <w:rPr>
          <w:lang w:eastAsia="en-GB"/>
        </w:rPr>
        <w:t xml:space="preserve"> </w:t>
      </w:r>
      <w:r w:rsidR="00617DF1">
        <w:rPr>
          <w:lang w:eastAsia="en-GB"/>
        </w:rPr>
        <w:br/>
      </w:r>
      <w:r w:rsidR="00617DF1">
        <w:rPr>
          <w:lang w:eastAsia="en-GB"/>
        </w:rPr>
        <w:br/>
        <w:t xml:space="preserve">Lot 2 </w:t>
      </w:r>
      <w:r w:rsidR="00005559">
        <w:rPr>
          <w:lang w:eastAsia="en-GB"/>
        </w:rPr>
        <w:t>–</w:t>
      </w:r>
      <w:r w:rsidR="00617DF1">
        <w:rPr>
          <w:lang w:eastAsia="en-GB"/>
        </w:rPr>
        <w:t xml:space="preserve"> </w:t>
      </w:r>
      <w:r w:rsidR="00005559">
        <w:rPr>
          <w:lang w:eastAsia="en-GB"/>
        </w:rPr>
        <w:t xml:space="preserve">Actions focusing on Youth Empowerment </w:t>
      </w:r>
      <w:r w:rsidR="00BB5DDD">
        <w:rPr>
          <w:lang w:eastAsia="en-GB"/>
        </w:rPr>
        <w:br/>
      </w:r>
      <w:r w:rsidR="00BB5DDD">
        <w:rPr>
          <w:lang w:eastAsia="en-GB"/>
        </w:rPr>
        <w:br/>
      </w:r>
      <w:r w:rsidR="00BB5DDD" w:rsidRPr="00982C4A">
        <w:rPr>
          <w:b/>
          <w:sz w:val="22"/>
          <w:szCs w:val="22"/>
          <w:shd w:val="clear" w:color="auto" w:fill="BFBFBF" w:themeFill="background1" w:themeFillShade="BF"/>
        </w:rPr>
        <w:t>Objective and Priority issues of the Call for Proposals</w:t>
      </w:r>
      <w:r w:rsidR="00BB5DDD">
        <w:rPr>
          <w:b/>
        </w:rPr>
        <w:br/>
      </w:r>
      <w:r w:rsidR="00BB5DDD" w:rsidRPr="007756A8">
        <w:t xml:space="preserve">This call seeks to contribute to the reduction of </w:t>
      </w:r>
      <w:r w:rsidR="00BB5DDD">
        <w:t xml:space="preserve">all types of </w:t>
      </w:r>
      <w:r w:rsidR="00BB5DDD" w:rsidRPr="007756A8">
        <w:t xml:space="preserve">violence among </w:t>
      </w:r>
      <w:r w:rsidR="00BB5DDD">
        <w:t xml:space="preserve">women and youth, </w:t>
      </w:r>
      <w:r w:rsidR="00BB5DDD" w:rsidRPr="007756A8">
        <w:t xml:space="preserve">as well as increased economic opportunities </w:t>
      </w:r>
      <w:r w:rsidR="00BB5DDD">
        <w:t xml:space="preserve">for women and youth </w:t>
      </w:r>
      <w:r w:rsidR="00B7141E">
        <w:t>as a tool to contribute to</w:t>
      </w:r>
      <w:r w:rsidR="00BB5DDD">
        <w:t xml:space="preserve"> reduction of violence.</w:t>
      </w:r>
      <w:r w:rsidR="00123E74">
        <w:rPr>
          <w:lang w:eastAsia="en-GB"/>
        </w:rPr>
        <w:br/>
      </w:r>
    </w:p>
    <w:tbl>
      <w:tblPr>
        <w:tblStyle w:val="TableGrid"/>
        <w:tblW w:w="0" w:type="auto"/>
        <w:tblLook w:val="04A0" w:firstRow="1" w:lastRow="0" w:firstColumn="1" w:lastColumn="0" w:noHBand="0" w:noVBand="1"/>
      </w:tblPr>
      <w:tblGrid>
        <w:gridCol w:w="4316"/>
        <w:gridCol w:w="4317"/>
        <w:gridCol w:w="4317"/>
      </w:tblGrid>
      <w:tr w:rsidR="00123E74" w14:paraId="080A551D" w14:textId="77777777" w:rsidTr="00C07AB7">
        <w:tc>
          <w:tcPr>
            <w:tcW w:w="4316" w:type="dxa"/>
            <w:shd w:val="clear" w:color="auto" w:fill="BFBFBF" w:themeFill="background1" w:themeFillShade="BF"/>
          </w:tcPr>
          <w:p w14:paraId="5F6920BE" w14:textId="1C26E9BA" w:rsidR="00123E74" w:rsidRDefault="0078607C" w:rsidP="00F148F5">
            <w:pPr>
              <w:tabs>
                <w:tab w:val="left" w:pos="426"/>
              </w:tabs>
              <w:spacing w:before="120"/>
              <w:rPr>
                <w:b/>
              </w:rPr>
            </w:pPr>
            <w:r>
              <w:rPr>
                <w:b/>
              </w:rPr>
              <w:br/>
            </w:r>
          </w:p>
        </w:tc>
        <w:tc>
          <w:tcPr>
            <w:tcW w:w="4317" w:type="dxa"/>
            <w:shd w:val="clear" w:color="auto" w:fill="BFBFBF" w:themeFill="background1" w:themeFillShade="BF"/>
          </w:tcPr>
          <w:p w14:paraId="5F19F050" w14:textId="1ECACD1F" w:rsidR="00123E74" w:rsidRDefault="00106013" w:rsidP="00F148F5">
            <w:pPr>
              <w:tabs>
                <w:tab w:val="left" w:pos="426"/>
              </w:tabs>
              <w:spacing w:before="120"/>
              <w:rPr>
                <w:b/>
              </w:rPr>
            </w:pPr>
            <w:r>
              <w:rPr>
                <w:b/>
              </w:rPr>
              <w:t>Lot 1 – Actions focusing on Gender Equality</w:t>
            </w:r>
          </w:p>
        </w:tc>
        <w:tc>
          <w:tcPr>
            <w:tcW w:w="4317" w:type="dxa"/>
            <w:shd w:val="clear" w:color="auto" w:fill="BFBFBF" w:themeFill="background1" w:themeFillShade="BF"/>
          </w:tcPr>
          <w:p w14:paraId="01251E5C" w14:textId="3C2B59CF" w:rsidR="00123E74" w:rsidRDefault="00106013" w:rsidP="00F148F5">
            <w:pPr>
              <w:tabs>
                <w:tab w:val="left" w:pos="426"/>
              </w:tabs>
              <w:spacing w:before="120"/>
              <w:rPr>
                <w:b/>
              </w:rPr>
            </w:pPr>
            <w:r>
              <w:rPr>
                <w:b/>
              </w:rPr>
              <w:t>Lot 2 – Actions focusing on Youth Empowerment</w:t>
            </w:r>
          </w:p>
        </w:tc>
      </w:tr>
      <w:tr w:rsidR="00123E74" w14:paraId="19F748C2" w14:textId="77777777" w:rsidTr="00123E74">
        <w:tc>
          <w:tcPr>
            <w:tcW w:w="4316" w:type="dxa"/>
          </w:tcPr>
          <w:p w14:paraId="0F6FFB07" w14:textId="32593E27" w:rsidR="00123E74" w:rsidRDefault="00A836BD" w:rsidP="00F148F5">
            <w:pPr>
              <w:tabs>
                <w:tab w:val="left" w:pos="426"/>
              </w:tabs>
              <w:spacing w:before="120"/>
              <w:rPr>
                <w:b/>
              </w:rPr>
            </w:pPr>
            <w:r>
              <w:rPr>
                <w:b/>
              </w:rPr>
              <w:t>Specific Objectives</w:t>
            </w:r>
            <w:r w:rsidR="00CC1F4A">
              <w:rPr>
                <w:b/>
              </w:rPr>
              <w:t>/Priorities</w:t>
            </w:r>
          </w:p>
        </w:tc>
        <w:tc>
          <w:tcPr>
            <w:tcW w:w="4317" w:type="dxa"/>
          </w:tcPr>
          <w:p w14:paraId="55FDF114" w14:textId="1E06E709" w:rsidR="00123E74" w:rsidRDefault="00CC1F4A" w:rsidP="00F148F5">
            <w:pPr>
              <w:tabs>
                <w:tab w:val="left" w:pos="426"/>
              </w:tabs>
              <w:spacing w:before="120"/>
              <w:rPr>
                <w:b/>
              </w:rPr>
            </w:pPr>
            <w:r>
              <w:t xml:space="preserve">a. </w:t>
            </w:r>
            <w:r w:rsidRPr="007077E3">
              <w:t>Actions that</w:t>
            </w:r>
            <w:r w:rsidRPr="007077E3">
              <w:rPr>
                <w:b/>
              </w:rPr>
              <w:t xml:space="preserve"> </w:t>
            </w:r>
            <w:r>
              <w:rPr>
                <w:b/>
              </w:rPr>
              <w:t>increase access to economic empowerment for women and girls affected by Gender Based Violence (GBV); sexual abuse and exploitation; marginalization</w:t>
            </w:r>
            <w:r w:rsidR="00CB2744">
              <w:rPr>
                <w:b/>
              </w:rPr>
              <w:br/>
            </w:r>
            <w:r w:rsidR="00CB2744">
              <w:rPr>
                <w:b/>
              </w:rPr>
              <w:br/>
            </w:r>
            <w:r w:rsidR="00DE03C2">
              <w:t xml:space="preserve">b. </w:t>
            </w:r>
            <w:r w:rsidR="00CB2744">
              <w:t xml:space="preserve">Actions to </w:t>
            </w:r>
            <w:r w:rsidR="00CB2744">
              <w:rPr>
                <w:b/>
              </w:rPr>
              <w:t xml:space="preserve">increase access to safety and violence prevention services for vulnerable </w:t>
            </w:r>
            <w:r w:rsidR="00E53E6B">
              <w:rPr>
                <w:b/>
              </w:rPr>
              <w:t>women</w:t>
            </w:r>
            <w:r w:rsidR="00CB2744">
              <w:rPr>
                <w:b/>
              </w:rPr>
              <w:t xml:space="preserve"> </w:t>
            </w:r>
          </w:p>
        </w:tc>
        <w:tc>
          <w:tcPr>
            <w:tcW w:w="4317" w:type="dxa"/>
          </w:tcPr>
          <w:p w14:paraId="0A1670EF" w14:textId="02AA1E71" w:rsidR="00123E74" w:rsidRDefault="00EA1108" w:rsidP="00F148F5">
            <w:pPr>
              <w:tabs>
                <w:tab w:val="left" w:pos="426"/>
              </w:tabs>
              <w:spacing w:before="120"/>
              <w:rPr>
                <w:b/>
              </w:rPr>
            </w:pPr>
            <w:r>
              <w:t xml:space="preserve">a. </w:t>
            </w:r>
            <w:r w:rsidR="00CB2744">
              <w:t xml:space="preserve">Actions to </w:t>
            </w:r>
            <w:r w:rsidR="00CB2744">
              <w:rPr>
                <w:b/>
              </w:rPr>
              <w:t xml:space="preserve">increase access to safety and violence prevention services for vulnerable </w:t>
            </w:r>
            <w:r w:rsidR="00B938E8">
              <w:rPr>
                <w:b/>
              </w:rPr>
              <w:t>youth</w:t>
            </w:r>
            <w:r w:rsidR="00CB2744">
              <w:rPr>
                <w:b/>
              </w:rPr>
              <w:t xml:space="preserve"> </w:t>
            </w:r>
            <w:r w:rsidR="00405822">
              <w:rPr>
                <w:b/>
              </w:rPr>
              <w:br/>
            </w:r>
            <w:r w:rsidR="00405822">
              <w:rPr>
                <w:b/>
              </w:rPr>
              <w:br/>
            </w:r>
            <w:r w:rsidR="00405822">
              <w:rPr>
                <w:b/>
              </w:rPr>
              <w:br/>
            </w:r>
            <w:r w:rsidR="00DE03C2">
              <w:t xml:space="preserve">b. </w:t>
            </w:r>
            <w:r w:rsidR="00405822">
              <w:t xml:space="preserve">Actions which have the potential to contribute to a </w:t>
            </w:r>
            <w:r w:rsidR="00405822" w:rsidRPr="00AA20D7">
              <w:rPr>
                <w:b/>
                <w:bCs/>
              </w:rPr>
              <w:t>reduc</w:t>
            </w:r>
            <w:r w:rsidR="00405822">
              <w:rPr>
                <w:b/>
                <w:bCs/>
              </w:rPr>
              <w:t>tion in</w:t>
            </w:r>
            <w:r w:rsidR="00405822" w:rsidRPr="00AA20D7">
              <w:rPr>
                <w:b/>
                <w:bCs/>
              </w:rPr>
              <w:t xml:space="preserve"> crime</w:t>
            </w:r>
            <w:r w:rsidR="00405822">
              <w:t xml:space="preserve"> </w:t>
            </w:r>
            <w:r w:rsidR="00405822">
              <w:rPr>
                <w:b/>
              </w:rPr>
              <w:t>and increased economic opportunities for at-risk or marginalized youth in violent prone communities</w:t>
            </w:r>
          </w:p>
        </w:tc>
      </w:tr>
      <w:tr w:rsidR="00123E74" w14:paraId="42D6A84C" w14:textId="77777777" w:rsidTr="00123E74">
        <w:tc>
          <w:tcPr>
            <w:tcW w:w="4316" w:type="dxa"/>
          </w:tcPr>
          <w:p w14:paraId="3EAEFC57" w14:textId="5C53C038" w:rsidR="00123E74" w:rsidRDefault="00405822" w:rsidP="00F148F5">
            <w:pPr>
              <w:tabs>
                <w:tab w:val="left" w:pos="426"/>
              </w:tabs>
              <w:spacing w:before="120"/>
              <w:rPr>
                <w:b/>
              </w:rPr>
            </w:pPr>
            <w:r>
              <w:rPr>
                <w:b/>
              </w:rPr>
              <w:t>Financial Allocation Provided</w:t>
            </w:r>
            <w:r>
              <w:br/>
              <w:t xml:space="preserve">The overall indicative amount made available under this Call for Proposals &amp; Concepts is </w:t>
            </w:r>
            <w:r w:rsidR="00915E60" w:rsidRPr="00DE03C2">
              <w:rPr>
                <w:b/>
                <w:bCs/>
              </w:rPr>
              <w:t>JMD</w:t>
            </w:r>
            <w:r w:rsidRPr="00DE03C2">
              <w:rPr>
                <w:b/>
                <w:bCs/>
              </w:rPr>
              <w:t xml:space="preserve"> 1</w:t>
            </w:r>
            <w:r w:rsidR="00915E60" w:rsidRPr="00DE03C2">
              <w:rPr>
                <w:b/>
                <w:bCs/>
              </w:rPr>
              <w:t>6, 5</w:t>
            </w:r>
            <w:r w:rsidRPr="00DE03C2">
              <w:rPr>
                <w:b/>
                <w:bCs/>
              </w:rPr>
              <w:t>00 000</w:t>
            </w:r>
          </w:p>
        </w:tc>
        <w:tc>
          <w:tcPr>
            <w:tcW w:w="4317" w:type="dxa"/>
          </w:tcPr>
          <w:p w14:paraId="5A13627B" w14:textId="08BB24BD" w:rsidR="00123E74" w:rsidRDefault="006F16A8" w:rsidP="00F148F5">
            <w:pPr>
              <w:tabs>
                <w:tab w:val="left" w:pos="426"/>
              </w:tabs>
              <w:spacing w:before="120"/>
              <w:rPr>
                <w:b/>
              </w:rPr>
            </w:pPr>
            <w:r>
              <w:rPr>
                <w:b/>
                <w:bCs/>
              </w:rPr>
              <w:t xml:space="preserve">JMD </w:t>
            </w:r>
            <w:r w:rsidR="00EA60F1">
              <w:rPr>
                <w:b/>
                <w:bCs/>
              </w:rPr>
              <w:t>9</w:t>
            </w:r>
            <w:r>
              <w:rPr>
                <w:b/>
                <w:bCs/>
              </w:rPr>
              <w:t xml:space="preserve">, </w:t>
            </w:r>
            <w:r w:rsidR="004E033C">
              <w:rPr>
                <w:b/>
                <w:bCs/>
              </w:rPr>
              <w:t>00</w:t>
            </w:r>
            <w:r>
              <w:rPr>
                <w:b/>
                <w:bCs/>
              </w:rPr>
              <w:t>0, 000</w:t>
            </w:r>
          </w:p>
        </w:tc>
        <w:tc>
          <w:tcPr>
            <w:tcW w:w="4317" w:type="dxa"/>
          </w:tcPr>
          <w:p w14:paraId="34B5F076" w14:textId="1F4E9EE6" w:rsidR="00123E74" w:rsidRDefault="00392CE6" w:rsidP="00F148F5">
            <w:pPr>
              <w:tabs>
                <w:tab w:val="left" w:pos="426"/>
              </w:tabs>
              <w:spacing w:before="120"/>
              <w:rPr>
                <w:b/>
              </w:rPr>
            </w:pPr>
            <w:r>
              <w:rPr>
                <w:b/>
              </w:rPr>
              <w:t xml:space="preserve">JMD </w:t>
            </w:r>
            <w:r w:rsidR="00EA60F1">
              <w:rPr>
                <w:b/>
              </w:rPr>
              <w:t>7</w:t>
            </w:r>
            <w:r>
              <w:rPr>
                <w:b/>
              </w:rPr>
              <w:t xml:space="preserve">, 500, 000 </w:t>
            </w:r>
          </w:p>
        </w:tc>
      </w:tr>
      <w:tr w:rsidR="00123E74" w14:paraId="5379AFA8" w14:textId="77777777" w:rsidTr="00123E74">
        <w:tc>
          <w:tcPr>
            <w:tcW w:w="4316" w:type="dxa"/>
          </w:tcPr>
          <w:p w14:paraId="400345C0" w14:textId="79487856" w:rsidR="00123E74" w:rsidRPr="0009730C" w:rsidRDefault="00392CE6" w:rsidP="00F148F5">
            <w:pPr>
              <w:tabs>
                <w:tab w:val="left" w:pos="426"/>
              </w:tabs>
              <w:spacing w:before="120"/>
              <w:rPr>
                <w:bCs/>
              </w:rPr>
            </w:pPr>
            <w:r w:rsidRPr="0009730C">
              <w:rPr>
                <w:bCs/>
              </w:rPr>
              <w:t xml:space="preserve">Minimum amount per </w:t>
            </w:r>
            <w:r w:rsidR="00AD4C51" w:rsidRPr="0009730C">
              <w:rPr>
                <w:bCs/>
              </w:rPr>
              <w:t>action</w:t>
            </w:r>
          </w:p>
        </w:tc>
        <w:tc>
          <w:tcPr>
            <w:tcW w:w="4317" w:type="dxa"/>
          </w:tcPr>
          <w:p w14:paraId="58979DEE" w14:textId="1CCC20B8" w:rsidR="00123E74" w:rsidRDefault="00AD4C51" w:rsidP="00F148F5">
            <w:pPr>
              <w:tabs>
                <w:tab w:val="left" w:pos="426"/>
              </w:tabs>
              <w:spacing w:before="120"/>
              <w:rPr>
                <w:b/>
              </w:rPr>
            </w:pPr>
            <w:r>
              <w:rPr>
                <w:b/>
              </w:rPr>
              <w:t xml:space="preserve">JMD </w:t>
            </w:r>
            <w:r w:rsidR="000E45A1">
              <w:rPr>
                <w:b/>
              </w:rPr>
              <w:t>1, 5</w:t>
            </w:r>
            <w:r w:rsidR="008F49F8">
              <w:rPr>
                <w:b/>
              </w:rPr>
              <w:t>0</w:t>
            </w:r>
            <w:r w:rsidR="000E45A1">
              <w:rPr>
                <w:b/>
              </w:rPr>
              <w:t>0, 000</w:t>
            </w:r>
          </w:p>
        </w:tc>
        <w:tc>
          <w:tcPr>
            <w:tcW w:w="4317" w:type="dxa"/>
          </w:tcPr>
          <w:p w14:paraId="4B92A2BB" w14:textId="6A0EE3D4" w:rsidR="00123E74" w:rsidRDefault="000E45A1" w:rsidP="00F148F5">
            <w:pPr>
              <w:tabs>
                <w:tab w:val="left" w:pos="426"/>
              </w:tabs>
              <w:spacing w:before="120"/>
              <w:rPr>
                <w:b/>
              </w:rPr>
            </w:pPr>
            <w:r>
              <w:rPr>
                <w:b/>
              </w:rPr>
              <w:t xml:space="preserve">JMD 1, </w:t>
            </w:r>
            <w:r w:rsidR="008F66C9">
              <w:rPr>
                <w:b/>
              </w:rPr>
              <w:t>0</w:t>
            </w:r>
            <w:r>
              <w:rPr>
                <w:b/>
              </w:rPr>
              <w:t>00, 000</w:t>
            </w:r>
          </w:p>
        </w:tc>
      </w:tr>
      <w:tr w:rsidR="00123E74" w14:paraId="6D67D045" w14:textId="77777777" w:rsidTr="00123E74">
        <w:tc>
          <w:tcPr>
            <w:tcW w:w="4316" w:type="dxa"/>
          </w:tcPr>
          <w:p w14:paraId="7E54A40F" w14:textId="0427072F" w:rsidR="00123E74" w:rsidRPr="0009730C" w:rsidRDefault="000E45A1" w:rsidP="00F148F5">
            <w:pPr>
              <w:tabs>
                <w:tab w:val="left" w:pos="426"/>
              </w:tabs>
              <w:spacing w:before="120"/>
              <w:rPr>
                <w:bCs/>
              </w:rPr>
            </w:pPr>
            <w:r w:rsidRPr="0009730C">
              <w:rPr>
                <w:bCs/>
              </w:rPr>
              <w:t>Maximum amount per action</w:t>
            </w:r>
          </w:p>
        </w:tc>
        <w:tc>
          <w:tcPr>
            <w:tcW w:w="4317" w:type="dxa"/>
          </w:tcPr>
          <w:p w14:paraId="1026C019" w14:textId="42A82D09" w:rsidR="00123E74" w:rsidRDefault="000E45A1" w:rsidP="00F148F5">
            <w:pPr>
              <w:tabs>
                <w:tab w:val="left" w:pos="426"/>
              </w:tabs>
              <w:spacing w:before="120"/>
              <w:rPr>
                <w:b/>
              </w:rPr>
            </w:pPr>
            <w:r>
              <w:rPr>
                <w:b/>
              </w:rPr>
              <w:t xml:space="preserve">JMD </w:t>
            </w:r>
            <w:r w:rsidR="008E2EF2">
              <w:rPr>
                <w:b/>
              </w:rPr>
              <w:t>2</w:t>
            </w:r>
            <w:r w:rsidR="008218EB">
              <w:rPr>
                <w:b/>
              </w:rPr>
              <w:t xml:space="preserve">, </w:t>
            </w:r>
            <w:r w:rsidR="008E2EF2">
              <w:rPr>
                <w:b/>
              </w:rPr>
              <w:t>5</w:t>
            </w:r>
            <w:r w:rsidR="008218EB">
              <w:rPr>
                <w:b/>
              </w:rPr>
              <w:t>00, 000</w:t>
            </w:r>
          </w:p>
        </w:tc>
        <w:tc>
          <w:tcPr>
            <w:tcW w:w="4317" w:type="dxa"/>
          </w:tcPr>
          <w:p w14:paraId="39A4413F" w14:textId="44373701" w:rsidR="00123E74" w:rsidRDefault="00EA60F1" w:rsidP="00F148F5">
            <w:pPr>
              <w:tabs>
                <w:tab w:val="left" w:pos="426"/>
              </w:tabs>
              <w:spacing w:before="120"/>
              <w:rPr>
                <w:b/>
              </w:rPr>
            </w:pPr>
            <w:r>
              <w:rPr>
                <w:b/>
              </w:rPr>
              <w:t>JMD 1, 500, 000</w:t>
            </w:r>
          </w:p>
        </w:tc>
      </w:tr>
      <w:tr w:rsidR="00123E74" w14:paraId="58436AF1" w14:textId="77777777" w:rsidTr="00123E74">
        <w:tc>
          <w:tcPr>
            <w:tcW w:w="4316" w:type="dxa"/>
          </w:tcPr>
          <w:p w14:paraId="42ADE4B9" w14:textId="121C91A6" w:rsidR="00123E74" w:rsidRDefault="001F6208" w:rsidP="009D7EA2">
            <w:pPr>
              <w:tabs>
                <w:tab w:val="left" w:pos="426"/>
              </w:tabs>
              <w:spacing w:before="120"/>
              <w:rPr>
                <w:b/>
              </w:rPr>
            </w:pPr>
            <w:r>
              <w:t>Minimum percentage</w:t>
            </w:r>
            <w:r w:rsidR="009D7EA2">
              <w:t xml:space="preserve"> of action eligible for funding</w:t>
            </w:r>
            <w:r>
              <w:t xml:space="preserve"> </w:t>
            </w:r>
          </w:p>
        </w:tc>
        <w:tc>
          <w:tcPr>
            <w:tcW w:w="4317" w:type="dxa"/>
          </w:tcPr>
          <w:p w14:paraId="242C5836" w14:textId="0D662BC3" w:rsidR="00123E74" w:rsidRPr="00264C45" w:rsidRDefault="009D7EA2" w:rsidP="00F148F5">
            <w:pPr>
              <w:tabs>
                <w:tab w:val="left" w:pos="426"/>
              </w:tabs>
              <w:spacing w:before="120"/>
              <w:rPr>
                <w:b/>
                <w:bCs/>
              </w:rPr>
            </w:pPr>
            <w:r w:rsidRPr="00264C45">
              <w:rPr>
                <w:b/>
                <w:bCs/>
              </w:rPr>
              <w:t>70%</w:t>
            </w:r>
          </w:p>
        </w:tc>
        <w:tc>
          <w:tcPr>
            <w:tcW w:w="4317" w:type="dxa"/>
          </w:tcPr>
          <w:p w14:paraId="5440E2A3" w14:textId="382A4A94" w:rsidR="00123E74" w:rsidRDefault="008A4F95" w:rsidP="00F148F5">
            <w:pPr>
              <w:tabs>
                <w:tab w:val="left" w:pos="426"/>
              </w:tabs>
              <w:spacing w:before="120"/>
              <w:rPr>
                <w:b/>
              </w:rPr>
            </w:pPr>
            <w:r>
              <w:rPr>
                <w:b/>
              </w:rPr>
              <w:t>80%</w:t>
            </w:r>
          </w:p>
        </w:tc>
      </w:tr>
      <w:tr w:rsidR="00123E74" w14:paraId="2F1239D6" w14:textId="77777777" w:rsidTr="00123E74">
        <w:tc>
          <w:tcPr>
            <w:tcW w:w="4316" w:type="dxa"/>
          </w:tcPr>
          <w:p w14:paraId="2D6A96B0" w14:textId="4A21EA0B" w:rsidR="00123E74" w:rsidRDefault="009D7EA2" w:rsidP="00F148F5">
            <w:pPr>
              <w:tabs>
                <w:tab w:val="left" w:pos="426"/>
              </w:tabs>
              <w:spacing w:before="120"/>
              <w:rPr>
                <w:b/>
              </w:rPr>
            </w:pPr>
            <w:r>
              <w:t xml:space="preserve">Maximum percentage of action eligible for </w:t>
            </w:r>
            <w:r>
              <w:lastRenderedPageBreak/>
              <w:t>funding</w:t>
            </w:r>
          </w:p>
        </w:tc>
        <w:tc>
          <w:tcPr>
            <w:tcW w:w="4317" w:type="dxa"/>
          </w:tcPr>
          <w:p w14:paraId="6D23B06E" w14:textId="6D0C4520" w:rsidR="00123E74" w:rsidRPr="00264C45" w:rsidRDefault="00264C45" w:rsidP="00F148F5">
            <w:pPr>
              <w:tabs>
                <w:tab w:val="left" w:pos="426"/>
              </w:tabs>
              <w:spacing w:before="120"/>
              <w:rPr>
                <w:b/>
                <w:bCs/>
              </w:rPr>
            </w:pPr>
            <w:r w:rsidRPr="00264C45">
              <w:rPr>
                <w:b/>
                <w:bCs/>
              </w:rPr>
              <w:lastRenderedPageBreak/>
              <w:t>95%</w:t>
            </w:r>
          </w:p>
        </w:tc>
        <w:tc>
          <w:tcPr>
            <w:tcW w:w="4317" w:type="dxa"/>
          </w:tcPr>
          <w:p w14:paraId="0D346BA4" w14:textId="1CF81777" w:rsidR="00123E74" w:rsidRDefault="008A4F95" w:rsidP="00F148F5">
            <w:pPr>
              <w:tabs>
                <w:tab w:val="left" w:pos="426"/>
              </w:tabs>
              <w:spacing w:before="120"/>
              <w:rPr>
                <w:b/>
              </w:rPr>
            </w:pPr>
            <w:r>
              <w:rPr>
                <w:b/>
              </w:rPr>
              <w:t>95%</w:t>
            </w:r>
          </w:p>
        </w:tc>
      </w:tr>
      <w:tr w:rsidR="00E82216" w14:paraId="627BB46B" w14:textId="77777777" w:rsidTr="00123E74">
        <w:tc>
          <w:tcPr>
            <w:tcW w:w="4316" w:type="dxa"/>
          </w:tcPr>
          <w:p w14:paraId="74FB431F" w14:textId="51E0EA37" w:rsidR="00E82216" w:rsidRDefault="00E82216" w:rsidP="00F148F5">
            <w:pPr>
              <w:tabs>
                <w:tab w:val="left" w:pos="426"/>
              </w:tabs>
              <w:spacing w:before="120"/>
            </w:pPr>
            <w:r>
              <w:t>Applicant Contribution required</w:t>
            </w:r>
          </w:p>
        </w:tc>
        <w:tc>
          <w:tcPr>
            <w:tcW w:w="4317" w:type="dxa"/>
          </w:tcPr>
          <w:p w14:paraId="664AEF46" w14:textId="5CF528AF" w:rsidR="00E82216" w:rsidRPr="00264C45" w:rsidRDefault="00E82216" w:rsidP="00F148F5">
            <w:pPr>
              <w:tabs>
                <w:tab w:val="left" w:pos="426"/>
              </w:tabs>
              <w:spacing w:before="120"/>
              <w:rPr>
                <w:b/>
                <w:bCs/>
              </w:rPr>
            </w:pPr>
            <w:r>
              <w:rPr>
                <w:b/>
                <w:bCs/>
              </w:rPr>
              <w:t>5%</w:t>
            </w:r>
            <w:r w:rsidR="008A04B3">
              <w:t xml:space="preserve"> </w:t>
            </w:r>
            <w:r w:rsidR="008A04B3">
              <w:br/>
            </w:r>
            <w:r w:rsidR="003A525B">
              <w:t xml:space="preserve">This </w:t>
            </w:r>
            <w:r w:rsidR="008A04B3">
              <w:t>must be financed from sources other than the European Union Budget or the European Development Fund.</w:t>
            </w:r>
            <w:r w:rsidR="003A525B">
              <w:t xml:space="preserve"> </w:t>
            </w:r>
            <w:r w:rsidR="003A525B" w:rsidRPr="003A525B">
              <w:rPr>
                <w:b/>
                <w:bCs/>
              </w:rPr>
              <w:t>Contributions in Kind</w:t>
            </w:r>
            <w:r w:rsidR="003A525B">
              <w:t xml:space="preserve"> are </w:t>
            </w:r>
            <w:r w:rsidR="003A525B" w:rsidRPr="003A525B">
              <w:rPr>
                <w:b/>
                <w:bCs/>
              </w:rPr>
              <w:t>NOT</w:t>
            </w:r>
            <w:r w:rsidR="003A525B">
              <w:t xml:space="preserve"> eligible as Applicant Contribution</w:t>
            </w:r>
          </w:p>
        </w:tc>
        <w:tc>
          <w:tcPr>
            <w:tcW w:w="4317" w:type="dxa"/>
          </w:tcPr>
          <w:p w14:paraId="63CA49BD" w14:textId="0F64BF45" w:rsidR="00E82216" w:rsidRDefault="008A4F95" w:rsidP="00F148F5">
            <w:pPr>
              <w:tabs>
                <w:tab w:val="left" w:pos="426"/>
              </w:tabs>
              <w:spacing w:before="120"/>
              <w:rPr>
                <w:b/>
              </w:rPr>
            </w:pPr>
            <w:r>
              <w:rPr>
                <w:b/>
              </w:rPr>
              <w:t>5%</w:t>
            </w:r>
          </w:p>
        </w:tc>
      </w:tr>
      <w:tr w:rsidR="004E3833" w14:paraId="157BC2FB" w14:textId="77777777" w:rsidTr="00123E74">
        <w:tc>
          <w:tcPr>
            <w:tcW w:w="4316" w:type="dxa"/>
          </w:tcPr>
          <w:p w14:paraId="01327E5D" w14:textId="05859F5A" w:rsidR="004E3833" w:rsidRPr="0009730C" w:rsidRDefault="004E3833" w:rsidP="004E3833">
            <w:pPr>
              <w:tabs>
                <w:tab w:val="left" w:pos="426"/>
              </w:tabs>
              <w:spacing w:before="120"/>
              <w:rPr>
                <w:bCs/>
              </w:rPr>
            </w:pPr>
            <w:r w:rsidRPr="0009730C">
              <w:rPr>
                <w:bCs/>
              </w:rPr>
              <w:t>Type of submission required</w:t>
            </w:r>
          </w:p>
        </w:tc>
        <w:tc>
          <w:tcPr>
            <w:tcW w:w="4317" w:type="dxa"/>
          </w:tcPr>
          <w:p w14:paraId="09265FAC" w14:textId="723EFEC8" w:rsidR="004E3833" w:rsidRDefault="004E3833" w:rsidP="004E3833">
            <w:pPr>
              <w:tabs>
                <w:tab w:val="left" w:pos="426"/>
              </w:tabs>
              <w:spacing w:before="120"/>
              <w:rPr>
                <w:b/>
                <w:bCs/>
              </w:rPr>
            </w:pPr>
            <w:r>
              <w:rPr>
                <w:b/>
              </w:rPr>
              <w:t>Full Proposal</w:t>
            </w:r>
          </w:p>
        </w:tc>
        <w:tc>
          <w:tcPr>
            <w:tcW w:w="4317" w:type="dxa"/>
          </w:tcPr>
          <w:p w14:paraId="20311192" w14:textId="65530BB0" w:rsidR="004E3833" w:rsidRDefault="004E3833" w:rsidP="004E3833">
            <w:pPr>
              <w:tabs>
                <w:tab w:val="left" w:pos="426"/>
              </w:tabs>
              <w:spacing w:before="120"/>
              <w:rPr>
                <w:b/>
              </w:rPr>
            </w:pPr>
            <w:r>
              <w:rPr>
                <w:b/>
              </w:rPr>
              <w:t xml:space="preserve">Concept Note </w:t>
            </w:r>
            <w:r w:rsidR="00AA4AEE">
              <w:rPr>
                <w:b/>
              </w:rPr>
              <w:t>ONLY</w:t>
            </w:r>
            <w:r w:rsidR="003341E0">
              <w:rPr>
                <w:b/>
              </w:rPr>
              <w:t>*</w:t>
            </w:r>
          </w:p>
        </w:tc>
      </w:tr>
      <w:tr w:rsidR="004E3833" w14:paraId="4A131B8B" w14:textId="77777777" w:rsidTr="00123E74">
        <w:tc>
          <w:tcPr>
            <w:tcW w:w="4316" w:type="dxa"/>
          </w:tcPr>
          <w:p w14:paraId="6941969D" w14:textId="25253DFD" w:rsidR="004E3833" w:rsidRPr="003A525B" w:rsidRDefault="004E3833" w:rsidP="004E3833">
            <w:pPr>
              <w:tabs>
                <w:tab w:val="left" w:pos="426"/>
              </w:tabs>
              <w:spacing w:before="120"/>
              <w:rPr>
                <w:bCs/>
              </w:rPr>
            </w:pPr>
            <w:r w:rsidRPr="003A525B">
              <w:rPr>
                <w:bCs/>
              </w:rPr>
              <w:t>Types of organizations or categories of persons which may apply</w:t>
            </w:r>
          </w:p>
        </w:tc>
        <w:tc>
          <w:tcPr>
            <w:tcW w:w="4317" w:type="dxa"/>
          </w:tcPr>
          <w:p w14:paraId="143BF701" w14:textId="0EA983E7" w:rsidR="004E3833" w:rsidRDefault="004E3833" w:rsidP="004E3833">
            <w:pPr>
              <w:tabs>
                <w:tab w:val="left" w:pos="426"/>
              </w:tabs>
              <w:spacing w:before="120"/>
              <w:rPr>
                <w:b/>
              </w:rPr>
            </w:pPr>
            <w:r>
              <w:t>Must be a legal entity operating in Jamaica as a Civil Society Organization and registered with the Companies Office of Jamaica (COJ) or the Department of Cooperatives &amp; Friendly Societies (DCFS). Charitable status is NOT mandatory for this Call;</w:t>
            </w:r>
          </w:p>
        </w:tc>
        <w:tc>
          <w:tcPr>
            <w:tcW w:w="4317" w:type="dxa"/>
          </w:tcPr>
          <w:p w14:paraId="5B7F9F67" w14:textId="0C4F561A" w:rsidR="004E3833" w:rsidRDefault="004E3833" w:rsidP="004E3833">
            <w:pPr>
              <w:tabs>
                <w:tab w:val="left" w:pos="426"/>
              </w:tabs>
              <w:spacing w:before="120"/>
              <w:rPr>
                <w:b/>
              </w:rPr>
            </w:pPr>
            <w:r>
              <w:t>Youth led organizations must have previously applied and accepted for a place in CSBI 3. Such organizations are NOT required to show proof of registration with government agencies</w:t>
            </w:r>
          </w:p>
        </w:tc>
      </w:tr>
    </w:tbl>
    <w:p w14:paraId="6E641B4A" w14:textId="77777777" w:rsidR="00A04310" w:rsidRDefault="00476E90" w:rsidP="00476E90">
      <w:pPr>
        <w:tabs>
          <w:tab w:val="left" w:pos="426"/>
        </w:tabs>
        <w:spacing w:before="120"/>
        <w:ind w:left="360"/>
        <w:rPr>
          <w:b/>
          <w:shd w:val="clear" w:color="auto" w:fill="BFBFBF" w:themeFill="background1" w:themeFillShade="BF"/>
        </w:rPr>
      </w:pPr>
      <w:r>
        <w:rPr>
          <w:b/>
        </w:rPr>
        <w:t xml:space="preserve">* </w:t>
      </w:r>
      <w:r w:rsidR="003341E0" w:rsidRPr="00476E90">
        <w:rPr>
          <w:b/>
        </w:rPr>
        <w:t xml:space="preserve">Successful Youth </w:t>
      </w:r>
      <w:r w:rsidRPr="00476E90">
        <w:rPr>
          <w:b/>
        </w:rPr>
        <w:t>L</w:t>
      </w:r>
      <w:r w:rsidR="003341E0" w:rsidRPr="00476E90">
        <w:rPr>
          <w:b/>
        </w:rPr>
        <w:t xml:space="preserve">ed Organizations </w:t>
      </w:r>
      <w:r w:rsidR="006C20A4">
        <w:rPr>
          <w:b/>
        </w:rPr>
        <w:t xml:space="preserve">(Lot 2) </w:t>
      </w:r>
      <w:r w:rsidR="003341E0" w:rsidRPr="00476E90">
        <w:rPr>
          <w:b/>
        </w:rPr>
        <w:t xml:space="preserve">will </w:t>
      </w:r>
      <w:r w:rsidR="00DC378A">
        <w:rPr>
          <w:b/>
        </w:rPr>
        <w:t xml:space="preserve">be invited to </w:t>
      </w:r>
      <w:r w:rsidR="003341E0" w:rsidRPr="00476E90">
        <w:rPr>
          <w:b/>
        </w:rPr>
        <w:t xml:space="preserve">participate in a co-creation </w:t>
      </w:r>
      <w:r w:rsidR="00DC378A">
        <w:rPr>
          <w:b/>
        </w:rPr>
        <w:t xml:space="preserve">workshop </w:t>
      </w:r>
      <w:r w:rsidR="00580527">
        <w:rPr>
          <w:b/>
        </w:rPr>
        <w:t xml:space="preserve">to </w:t>
      </w:r>
      <w:r w:rsidR="00DC378A">
        <w:rPr>
          <w:b/>
        </w:rPr>
        <w:t xml:space="preserve">further develop their Concepts and </w:t>
      </w:r>
      <w:r w:rsidR="00580527">
        <w:rPr>
          <w:b/>
        </w:rPr>
        <w:t>ensure that there are no duplications and</w:t>
      </w:r>
      <w:r w:rsidR="006C20A4">
        <w:rPr>
          <w:b/>
        </w:rPr>
        <w:t xml:space="preserve"> </w:t>
      </w:r>
      <w:r w:rsidR="00307D27">
        <w:rPr>
          <w:b/>
        </w:rPr>
        <w:t>their actions are collaborative.</w:t>
      </w:r>
      <w:r w:rsidR="00307D27">
        <w:rPr>
          <w:b/>
        </w:rPr>
        <w:br/>
      </w:r>
      <w:r w:rsidR="00DC378A">
        <w:rPr>
          <w:b/>
        </w:rPr>
        <w:t xml:space="preserve"> </w:t>
      </w:r>
      <w:r w:rsidR="00580527">
        <w:rPr>
          <w:b/>
        </w:rPr>
        <w:t xml:space="preserve">   </w:t>
      </w:r>
      <w:r w:rsidR="00377955">
        <w:br/>
      </w:r>
    </w:p>
    <w:p w14:paraId="3FFC2927" w14:textId="77777777" w:rsidR="00A04310" w:rsidRDefault="00A04310" w:rsidP="00476E90">
      <w:pPr>
        <w:tabs>
          <w:tab w:val="left" w:pos="426"/>
        </w:tabs>
        <w:spacing w:before="120"/>
        <w:ind w:left="360"/>
        <w:rPr>
          <w:b/>
          <w:shd w:val="clear" w:color="auto" w:fill="BFBFBF" w:themeFill="background1" w:themeFillShade="BF"/>
        </w:rPr>
      </w:pPr>
    </w:p>
    <w:p w14:paraId="35A497FA" w14:textId="77777777" w:rsidR="00A04310" w:rsidRDefault="00A04310" w:rsidP="00476E90">
      <w:pPr>
        <w:tabs>
          <w:tab w:val="left" w:pos="426"/>
        </w:tabs>
        <w:spacing w:before="120"/>
        <w:ind w:left="360"/>
        <w:rPr>
          <w:b/>
          <w:shd w:val="clear" w:color="auto" w:fill="BFBFBF" w:themeFill="background1" w:themeFillShade="BF"/>
        </w:rPr>
      </w:pPr>
    </w:p>
    <w:p w14:paraId="3DE630DF" w14:textId="77777777" w:rsidR="00A04310" w:rsidRDefault="00A04310" w:rsidP="00476E90">
      <w:pPr>
        <w:tabs>
          <w:tab w:val="left" w:pos="426"/>
        </w:tabs>
        <w:spacing w:before="120"/>
        <w:ind w:left="360"/>
        <w:rPr>
          <w:b/>
          <w:shd w:val="clear" w:color="auto" w:fill="BFBFBF" w:themeFill="background1" w:themeFillShade="BF"/>
        </w:rPr>
      </w:pPr>
    </w:p>
    <w:p w14:paraId="321519D4" w14:textId="77777777" w:rsidR="00A04310" w:rsidRDefault="00A04310" w:rsidP="00476E90">
      <w:pPr>
        <w:tabs>
          <w:tab w:val="left" w:pos="426"/>
        </w:tabs>
        <w:spacing w:before="120"/>
        <w:ind w:left="360"/>
        <w:rPr>
          <w:b/>
          <w:shd w:val="clear" w:color="auto" w:fill="BFBFBF" w:themeFill="background1" w:themeFillShade="BF"/>
        </w:rPr>
      </w:pPr>
    </w:p>
    <w:p w14:paraId="25419CBA" w14:textId="77777777" w:rsidR="00A04310" w:rsidRDefault="00A04310" w:rsidP="00476E90">
      <w:pPr>
        <w:tabs>
          <w:tab w:val="left" w:pos="426"/>
        </w:tabs>
        <w:spacing w:before="120"/>
        <w:ind w:left="360"/>
        <w:rPr>
          <w:b/>
          <w:shd w:val="clear" w:color="auto" w:fill="BFBFBF" w:themeFill="background1" w:themeFillShade="BF"/>
        </w:rPr>
      </w:pPr>
    </w:p>
    <w:p w14:paraId="24B66CAA" w14:textId="77777777" w:rsidR="00CE3F14" w:rsidRDefault="00CE3F14" w:rsidP="00A04310">
      <w:pPr>
        <w:tabs>
          <w:tab w:val="left" w:pos="426"/>
        </w:tabs>
        <w:spacing w:before="120"/>
        <w:rPr>
          <w:b/>
          <w:shd w:val="clear" w:color="auto" w:fill="BFBFBF" w:themeFill="background1" w:themeFillShade="BF"/>
        </w:rPr>
        <w:sectPr w:rsidR="00CE3F14" w:rsidSect="007A3FEF">
          <w:pgSz w:w="15840" w:h="12240" w:orient="landscape"/>
          <w:pgMar w:top="1440" w:right="1440" w:bottom="1440" w:left="1440" w:header="720" w:footer="720" w:gutter="0"/>
          <w:cols w:space="720"/>
          <w:docGrid w:linePitch="360"/>
        </w:sectPr>
      </w:pPr>
    </w:p>
    <w:p w14:paraId="4FB7FCDC" w14:textId="107AA829" w:rsidR="00F02512" w:rsidRDefault="00F148F5" w:rsidP="00A04310">
      <w:pPr>
        <w:tabs>
          <w:tab w:val="left" w:pos="426"/>
        </w:tabs>
        <w:spacing w:before="120"/>
      </w:pPr>
      <w:r w:rsidRPr="00982C4A">
        <w:rPr>
          <w:b/>
          <w:shd w:val="clear" w:color="auto" w:fill="BFBFBF" w:themeFill="background1" w:themeFillShade="BF"/>
        </w:rPr>
        <w:lastRenderedPageBreak/>
        <w:t>Duration &amp; Location</w:t>
      </w:r>
      <w:r w:rsidRPr="00476E90">
        <w:rPr>
          <w:b/>
        </w:rPr>
        <w:br/>
      </w:r>
      <w:r>
        <w:t xml:space="preserve">The initial planned duration of an action may not be lower than </w:t>
      </w:r>
      <w:r w:rsidR="00702531" w:rsidRPr="00F02512">
        <w:rPr>
          <w:b/>
          <w:bCs/>
        </w:rPr>
        <w:t>6</w:t>
      </w:r>
      <w:r w:rsidRPr="00F02512">
        <w:rPr>
          <w:b/>
          <w:bCs/>
        </w:rPr>
        <w:t xml:space="preserve"> months nor exceed </w:t>
      </w:r>
      <w:r w:rsidR="00702531" w:rsidRPr="00F02512">
        <w:rPr>
          <w:b/>
          <w:bCs/>
        </w:rPr>
        <w:t>9</w:t>
      </w:r>
      <w:r w:rsidRPr="00F02512">
        <w:rPr>
          <w:b/>
          <w:bCs/>
        </w:rPr>
        <w:t xml:space="preserve"> months</w:t>
      </w:r>
      <w:r>
        <w:br/>
      </w:r>
      <w:r>
        <w:br/>
        <w:t xml:space="preserve">Actions must take place in Jamaica and target marginalized vulnerable </w:t>
      </w:r>
      <w:r w:rsidR="004E56ED">
        <w:t xml:space="preserve">WOMEN and YOUTH </w:t>
      </w:r>
      <w:r w:rsidR="00BA4013">
        <w:t xml:space="preserve">in </w:t>
      </w:r>
      <w:r w:rsidR="00281055">
        <w:t xml:space="preserve">Community Renewal </w:t>
      </w:r>
      <w:proofErr w:type="spellStart"/>
      <w:r w:rsidR="00281055">
        <w:t>Programme</w:t>
      </w:r>
      <w:proofErr w:type="spellEnd"/>
      <w:r w:rsidR="00281055">
        <w:t xml:space="preserve"> (CRP)</w:t>
      </w:r>
      <w:r w:rsidR="00BF6393">
        <w:t xml:space="preserve"> communities: </w:t>
      </w:r>
      <w:r w:rsidR="00281055">
        <w:t xml:space="preserve"> </w:t>
      </w:r>
      <w:r>
        <w:t xml:space="preserve">Applicants are required to demonstrate </w:t>
      </w:r>
      <w:r w:rsidR="00A830EA">
        <w:t xml:space="preserve">vulnerability </w:t>
      </w:r>
      <w:r>
        <w:t>in their application</w:t>
      </w:r>
      <w:r w:rsidR="00A830EA">
        <w:t>s</w:t>
      </w:r>
      <w:r>
        <w:t>.</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86"/>
        <w:gridCol w:w="34"/>
      </w:tblGrid>
      <w:tr w:rsidR="00F02512" w14:paraId="39EB2147" w14:textId="77777777" w:rsidTr="0062762C">
        <w:tblPrEx>
          <w:tblCellMar>
            <w:top w:w="0" w:type="dxa"/>
            <w:bottom w:w="0" w:type="dxa"/>
          </w:tblCellMar>
        </w:tblPrEx>
        <w:trPr>
          <w:trHeight w:val="131"/>
        </w:trPr>
        <w:tc>
          <w:tcPr>
            <w:tcW w:w="4820" w:type="dxa"/>
            <w:gridSpan w:val="2"/>
            <w:tcBorders>
              <w:top w:val="none" w:sz="6" w:space="0" w:color="auto"/>
              <w:bottom w:val="none" w:sz="6" w:space="0" w:color="auto"/>
              <w:right w:val="none" w:sz="6" w:space="0" w:color="auto"/>
            </w:tcBorders>
          </w:tcPr>
          <w:p w14:paraId="606C6853" w14:textId="77777777" w:rsidR="00F02512" w:rsidRDefault="00F02512" w:rsidP="0062762C">
            <w:pPr>
              <w:pStyle w:val="Default"/>
              <w:jc w:val="center"/>
              <w:rPr>
                <w:sz w:val="28"/>
                <w:szCs w:val="28"/>
              </w:rPr>
            </w:pPr>
            <w:r>
              <w:rPr>
                <w:b/>
                <w:bCs/>
                <w:sz w:val="28"/>
                <w:szCs w:val="28"/>
              </w:rPr>
              <w:t>CRP Communities</w:t>
            </w:r>
          </w:p>
        </w:tc>
      </w:tr>
      <w:tr w:rsidR="00F02512" w14:paraId="1E4C9500" w14:textId="77777777" w:rsidTr="0062762C">
        <w:tblPrEx>
          <w:tblCellMar>
            <w:top w:w="0" w:type="dxa"/>
            <w:bottom w:w="0" w:type="dxa"/>
          </w:tblCellMar>
        </w:tblPrEx>
        <w:trPr>
          <w:trHeight w:val="94"/>
        </w:trPr>
        <w:tc>
          <w:tcPr>
            <w:tcW w:w="4820" w:type="dxa"/>
            <w:gridSpan w:val="2"/>
            <w:tcBorders>
              <w:top w:val="none" w:sz="6" w:space="0" w:color="auto"/>
              <w:bottom w:val="none" w:sz="6" w:space="0" w:color="auto"/>
              <w:right w:val="none" w:sz="6" w:space="0" w:color="auto"/>
            </w:tcBorders>
          </w:tcPr>
          <w:p w14:paraId="0C687491" w14:textId="77777777" w:rsidR="00F02512" w:rsidRDefault="00F02512" w:rsidP="0062762C">
            <w:pPr>
              <w:pStyle w:val="Default"/>
              <w:rPr>
                <w:sz w:val="20"/>
                <w:szCs w:val="20"/>
              </w:rPr>
            </w:pPr>
            <w:r>
              <w:rPr>
                <w:b/>
                <w:bCs/>
                <w:sz w:val="20"/>
                <w:szCs w:val="20"/>
              </w:rPr>
              <w:t xml:space="preserve">St. James </w:t>
            </w:r>
          </w:p>
        </w:tc>
      </w:tr>
      <w:tr w:rsidR="00F02512" w14:paraId="5466D057"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7AFCEEEC" w14:textId="77777777" w:rsidR="00F02512" w:rsidRDefault="00F02512" w:rsidP="0062762C">
            <w:pPr>
              <w:pStyle w:val="Default"/>
              <w:rPr>
                <w:sz w:val="20"/>
                <w:szCs w:val="20"/>
              </w:rPr>
            </w:pPr>
            <w:r>
              <w:rPr>
                <w:sz w:val="20"/>
                <w:szCs w:val="20"/>
              </w:rPr>
              <w:t>Flanker</w:t>
            </w:r>
          </w:p>
        </w:tc>
      </w:tr>
      <w:tr w:rsidR="00F02512" w14:paraId="27E8296F"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07537625" w14:textId="77777777" w:rsidR="00F02512" w:rsidRDefault="00F02512" w:rsidP="0062762C">
            <w:pPr>
              <w:pStyle w:val="Default"/>
              <w:rPr>
                <w:sz w:val="20"/>
                <w:szCs w:val="20"/>
              </w:rPr>
            </w:pPr>
            <w:r>
              <w:rPr>
                <w:sz w:val="20"/>
                <w:szCs w:val="20"/>
              </w:rPr>
              <w:t xml:space="preserve">Canterbury </w:t>
            </w:r>
          </w:p>
        </w:tc>
      </w:tr>
      <w:tr w:rsidR="00F02512" w14:paraId="22B0D421"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108A3F73" w14:textId="77777777" w:rsidR="00F02512" w:rsidRDefault="00F02512" w:rsidP="0062762C">
            <w:pPr>
              <w:pStyle w:val="Default"/>
              <w:rPr>
                <w:sz w:val="20"/>
                <w:szCs w:val="20"/>
              </w:rPr>
            </w:pPr>
            <w:r>
              <w:rPr>
                <w:sz w:val="20"/>
                <w:szCs w:val="20"/>
              </w:rPr>
              <w:t xml:space="preserve">Salt Spring </w:t>
            </w:r>
          </w:p>
        </w:tc>
      </w:tr>
      <w:tr w:rsidR="00F02512" w14:paraId="0642F62E"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74C6B60D" w14:textId="77777777" w:rsidR="00F02512" w:rsidRDefault="00F02512" w:rsidP="0062762C">
            <w:pPr>
              <w:pStyle w:val="Default"/>
              <w:rPr>
                <w:sz w:val="20"/>
                <w:szCs w:val="20"/>
              </w:rPr>
            </w:pPr>
            <w:r>
              <w:rPr>
                <w:sz w:val="20"/>
                <w:szCs w:val="20"/>
              </w:rPr>
              <w:t>Norwood</w:t>
            </w:r>
          </w:p>
        </w:tc>
      </w:tr>
      <w:tr w:rsidR="00F02512" w14:paraId="3DA2E4BB"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51EAF417" w14:textId="77777777" w:rsidR="00F02512" w:rsidRDefault="00F02512" w:rsidP="0062762C">
            <w:pPr>
              <w:pStyle w:val="Default"/>
              <w:rPr>
                <w:sz w:val="20"/>
                <w:szCs w:val="20"/>
              </w:rPr>
            </w:pPr>
            <w:r>
              <w:rPr>
                <w:sz w:val="20"/>
                <w:szCs w:val="20"/>
              </w:rPr>
              <w:t xml:space="preserve">Rose Heights </w:t>
            </w:r>
          </w:p>
        </w:tc>
      </w:tr>
      <w:tr w:rsidR="00F02512" w14:paraId="4D50C4DC"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2D2DB3A0" w14:textId="77777777" w:rsidR="00F02512" w:rsidRDefault="00F02512" w:rsidP="0062762C">
            <w:pPr>
              <w:pStyle w:val="Default"/>
              <w:rPr>
                <w:sz w:val="20"/>
                <w:szCs w:val="20"/>
              </w:rPr>
            </w:pPr>
            <w:r>
              <w:rPr>
                <w:sz w:val="20"/>
                <w:szCs w:val="20"/>
              </w:rPr>
              <w:t xml:space="preserve">Mount Salem </w:t>
            </w:r>
          </w:p>
        </w:tc>
      </w:tr>
      <w:tr w:rsidR="00F02512" w14:paraId="5A1DCE0F" w14:textId="77777777" w:rsidTr="0062762C">
        <w:tblPrEx>
          <w:tblCellMar>
            <w:top w:w="0" w:type="dxa"/>
            <w:bottom w:w="0" w:type="dxa"/>
          </w:tblCellMar>
        </w:tblPrEx>
        <w:trPr>
          <w:trHeight w:val="94"/>
        </w:trPr>
        <w:tc>
          <w:tcPr>
            <w:tcW w:w="4820" w:type="dxa"/>
            <w:gridSpan w:val="2"/>
            <w:tcBorders>
              <w:top w:val="none" w:sz="6" w:space="0" w:color="auto"/>
              <w:bottom w:val="none" w:sz="6" w:space="0" w:color="auto"/>
              <w:right w:val="none" w:sz="6" w:space="0" w:color="auto"/>
            </w:tcBorders>
          </w:tcPr>
          <w:p w14:paraId="2E9D0D8E" w14:textId="77777777" w:rsidR="00F02512" w:rsidRDefault="00F02512" w:rsidP="0062762C">
            <w:pPr>
              <w:pStyle w:val="Default"/>
              <w:rPr>
                <w:sz w:val="20"/>
                <w:szCs w:val="20"/>
              </w:rPr>
            </w:pPr>
            <w:r>
              <w:rPr>
                <w:b/>
                <w:bCs/>
                <w:sz w:val="20"/>
                <w:szCs w:val="20"/>
              </w:rPr>
              <w:t xml:space="preserve">Clarendon </w:t>
            </w:r>
          </w:p>
        </w:tc>
      </w:tr>
      <w:tr w:rsidR="00F02512" w14:paraId="26784580"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44770E9C" w14:textId="77777777" w:rsidR="00F02512" w:rsidRDefault="00F02512" w:rsidP="0062762C">
            <w:pPr>
              <w:pStyle w:val="Default"/>
              <w:rPr>
                <w:sz w:val="20"/>
                <w:szCs w:val="20"/>
              </w:rPr>
            </w:pPr>
            <w:proofErr w:type="spellStart"/>
            <w:r>
              <w:rPr>
                <w:sz w:val="20"/>
                <w:szCs w:val="20"/>
              </w:rPr>
              <w:t>Effortville</w:t>
            </w:r>
            <w:proofErr w:type="spellEnd"/>
          </w:p>
        </w:tc>
      </w:tr>
      <w:tr w:rsidR="00F02512" w14:paraId="2C0AACCE"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6F0EF645" w14:textId="77777777" w:rsidR="00F02512" w:rsidRDefault="00F02512" w:rsidP="0062762C">
            <w:pPr>
              <w:pStyle w:val="Default"/>
              <w:rPr>
                <w:sz w:val="20"/>
                <w:szCs w:val="20"/>
              </w:rPr>
            </w:pPr>
            <w:r>
              <w:rPr>
                <w:sz w:val="20"/>
                <w:szCs w:val="20"/>
              </w:rPr>
              <w:t xml:space="preserve">May Pen Proper </w:t>
            </w:r>
          </w:p>
        </w:tc>
      </w:tr>
      <w:tr w:rsidR="00F02512" w14:paraId="3C7CD326"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30941881" w14:textId="77777777" w:rsidR="00F02512" w:rsidRDefault="00F02512" w:rsidP="0062762C">
            <w:pPr>
              <w:pStyle w:val="Default"/>
              <w:rPr>
                <w:sz w:val="20"/>
                <w:szCs w:val="20"/>
              </w:rPr>
            </w:pPr>
            <w:r>
              <w:rPr>
                <w:sz w:val="20"/>
                <w:szCs w:val="20"/>
              </w:rPr>
              <w:t xml:space="preserve">Bucknor </w:t>
            </w:r>
          </w:p>
        </w:tc>
      </w:tr>
      <w:tr w:rsidR="00F02512" w14:paraId="40BA9EBD"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1BBD1AD2" w14:textId="77777777" w:rsidR="00F02512" w:rsidRDefault="00F02512" w:rsidP="0062762C">
            <w:pPr>
              <w:pStyle w:val="Default"/>
              <w:rPr>
                <w:sz w:val="20"/>
                <w:szCs w:val="20"/>
              </w:rPr>
            </w:pPr>
            <w:r>
              <w:rPr>
                <w:sz w:val="20"/>
                <w:szCs w:val="20"/>
              </w:rPr>
              <w:t xml:space="preserve">Hayes </w:t>
            </w:r>
          </w:p>
        </w:tc>
      </w:tr>
      <w:tr w:rsidR="00F02512" w14:paraId="11A38059"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52689831" w14:textId="77777777" w:rsidR="00F02512" w:rsidRDefault="00F02512" w:rsidP="0062762C">
            <w:pPr>
              <w:pStyle w:val="Default"/>
              <w:rPr>
                <w:sz w:val="20"/>
                <w:szCs w:val="20"/>
              </w:rPr>
            </w:pPr>
            <w:r>
              <w:rPr>
                <w:sz w:val="20"/>
                <w:szCs w:val="20"/>
              </w:rPr>
              <w:t xml:space="preserve">Rocky Point </w:t>
            </w:r>
          </w:p>
        </w:tc>
      </w:tr>
      <w:tr w:rsidR="00F02512" w14:paraId="5ED3E782"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487F8310" w14:textId="77777777" w:rsidR="00F02512" w:rsidRDefault="00F02512" w:rsidP="0062762C">
            <w:pPr>
              <w:pStyle w:val="Default"/>
              <w:rPr>
                <w:sz w:val="20"/>
                <w:szCs w:val="20"/>
              </w:rPr>
            </w:pPr>
            <w:r>
              <w:rPr>
                <w:sz w:val="20"/>
                <w:szCs w:val="20"/>
              </w:rPr>
              <w:t xml:space="preserve">Palmer’s Cross </w:t>
            </w:r>
          </w:p>
        </w:tc>
      </w:tr>
      <w:tr w:rsidR="00F02512" w14:paraId="051D7266"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0265593F" w14:textId="77777777" w:rsidR="00F02512" w:rsidRDefault="00F02512" w:rsidP="0062762C">
            <w:pPr>
              <w:pStyle w:val="Default"/>
              <w:rPr>
                <w:sz w:val="20"/>
                <w:szCs w:val="20"/>
              </w:rPr>
            </w:pPr>
            <w:proofErr w:type="spellStart"/>
            <w:r>
              <w:rPr>
                <w:sz w:val="20"/>
                <w:szCs w:val="20"/>
              </w:rPr>
              <w:t>Treadlight</w:t>
            </w:r>
            <w:proofErr w:type="spellEnd"/>
            <w:r>
              <w:rPr>
                <w:sz w:val="20"/>
                <w:szCs w:val="20"/>
              </w:rPr>
              <w:t xml:space="preserve"> </w:t>
            </w:r>
          </w:p>
        </w:tc>
      </w:tr>
      <w:tr w:rsidR="00F02512" w14:paraId="6A611F0E"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55BA627C" w14:textId="77777777" w:rsidR="00F02512" w:rsidRDefault="00F02512" w:rsidP="0062762C">
            <w:pPr>
              <w:pStyle w:val="Default"/>
              <w:rPr>
                <w:sz w:val="20"/>
                <w:szCs w:val="20"/>
              </w:rPr>
            </w:pPr>
            <w:r>
              <w:rPr>
                <w:sz w:val="20"/>
                <w:szCs w:val="20"/>
              </w:rPr>
              <w:t xml:space="preserve">Race Track </w:t>
            </w:r>
          </w:p>
        </w:tc>
      </w:tr>
      <w:tr w:rsidR="00F02512" w14:paraId="0391AC8F" w14:textId="77777777" w:rsidTr="0062762C">
        <w:tblPrEx>
          <w:tblCellMar>
            <w:top w:w="0" w:type="dxa"/>
            <w:bottom w:w="0" w:type="dxa"/>
          </w:tblCellMar>
        </w:tblPrEx>
        <w:trPr>
          <w:trHeight w:val="94"/>
        </w:trPr>
        <w:tc>
          <w:tcPr>
            <w:tcW w:w="4820" w:type="dxa"/>
            <w:gridSpan w:val="2"/>
            <w:tcBorders>
              <w:top w:val="none" w:sz="6" w:space="0" w:color="auto"/>
              <w:bottom w:val="none" w:sz="6" w:space="0" w:color="auto"/>
              <w:right w:val="none" w:sz="6" w:space="0" w:color="auto"/>
            </w:tcBorders>
          </w:tcPr>
          <w:p w14:paraId="2AF13BD9" w14:textId="77777777" w:rsidR="00F02512" w:rsidRDefault="00F02512" w:rsidP="0062762C">
            <w:pPr>
              <w:pStyle w:val="Default"/>
              <w:rPr>
                <w:sz w:val="20"/>
                <w:szCs w:val="20"/>
              </w:rPr>
            </w:pPr>
            <w:r>
              <w:rPr>
                <w:b/>
                <w:bCs/>
                <w:sz w:val="20"/>
                <w:szCs w:val="20"/>
              </w:rPr>
              <w:t xml:space="preserve">Kingston and St. Andrew </w:t>
            </w:r>
          </w:p>
        </w:tc>
      </w:tr>
      <w:tr w:rsidR="00F02512" w14:paraId="31E83140"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06958A52" w14:textId="77777777" w:rsidR="00F02512" w:rsidRDefault="00F02512" w:rsidP="0062762C">
            <w:pPr>
              <w:pStyle w:val="Default"/>
              <w:rPr>
                <w:sz w:val="20"/>
                <w:szCs w:val="20"/>
              </w:rPr>
            </w:pPr>
            <w:r>
              <w:rPr>
                <w:sz w:val="20"/>
                <w:szCs w:val="20"/>
              </w:rPr>
              <w:t>Majesty Gardens</w:t>
            </w:r>
          </w:p>
        </w:tc>
      </w:tr>
      <w:tr w:rsidR="00F02512" w14:paraId="6DE99305"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33B62656" w14:textId="77777777" w:rsidR="00F02512" w:rsidRDefault="00F02512" w:rsidP="0062762C">
            <w:pPr>
              <w:pStyle w:val="Default"/>
              <w:rPr>
                <w:sz w:val="20"/>
                <w:szCs w:val="20"/>
              </w:rPr>
            </w:pPr>
            <w:r>
              <w:rPr>
                <w:sz w:val="20"/>
                <w:szCs w:val="20"/>
              </w:rPr>
              <w:t xml:space="preserve">Tivoli Gardens </w:t>
            </w:r>
          </w:p>
        </w:tc>
      </w:tr>
      <w:tr w:rsidR="00F02512" w14:paraId="64B419C5"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34BA2898" w14:textId="77777777" w:rsidR="00F02512" w:rsidRDefault="00F02512" w:rsidP="0062762C">
            <w:pPr>
              <w:pStyle w:val="Default"/>
              <w:rPr>
                <w:sz w:val="20"/>
                <w:szCs w:val="20"/>
              </w:rPr>
            </w:pPr>
            <w:r>
              <w:rPr>
                <w:sz w:val="20"/>
                <w:szCs w:val="20"/>
              </w:rPr>
              <w:t xml:space="preserve">Denham Town </w:t>
            </w:r>
          </w:p>
        </w:tc>
      </w:tr>
      <w:tr w:rsidR="00F02512" w14:paraId="76AD7AF4"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6C4D9080" w14:textId="77777777" w:rsidR="00F02512" w:rsidRDefault="00F02512" w:rsidP="0062762C">
            <w:pPr>
              <w:pStyle w:val="Default"/>
              <w:rPr>
                <w:sz w:val="20"/>
                <w:szCs w:val="20"/>
              </w:rPr>
            </w:pPr>
            <w:r>
              <w:rPr>
                <w:sz w:val="20"/>
                <w:szCs w:val="20"/>
              </w:rPr>
              <w:t xml:space="preserve">Trench Town </w:t>
            </w:r>
          </w:p>
        </w:tc>
      </w:tr>
      <w:tr w:rsidR="00F02512" w14:paraId="1D261D9E"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7852D79A" w14:textId="77777777" w:rsidR="00F02512" w:rsidRDefault="00F02512" w:rsidP="0062762C">
            <w:pPr>
              <w:pStyle w:val="Default"/>
              <w:rPr>
                <w:sz w:val="20"/>
                <w:szCs w:val="20"/>
              </w:rPr>
            </w:pPr>
            <w:r>
              <w:rPr>
                <w:sz w:val="20"/>
                <w:szCs w:val="20"/>
              </w:rPr>
              <w:t>August Town</w:t>
            </w:r>
          </w:p>
        </w:tc>
      </w:tr>
      <w:tr w:rsidR="00F02512" w14:paraId="089EB52B"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5A4AF4D0" w14:textId="77777777" w:rsidR="00F02512" w:rsidRDefault="00F02512" w:rsidP="0062762C">
            <w:pPr>
              <w:pStyle w:val="Default"/>
              <w:rPr>
                <w:sz w:val="20"/>
                <w:szCs w:val="20"/>
              </w:rPr>
            </w:pPr>
            <w:r>
              <w:rPr>
                <w:sz w:val="20"/>
                <w:szCs w:val="20"/>
              </w:rPr>
              <w:t xml:space="preserve">Greenwich Town </w:t>
            </w:r>
          </w:p>
        </w:tc>
      </w:tr>
      <w:tr w:rsidR="00F02512" w14:paraId="45808A94"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4B98F1C9" w14:textId="77777777" w:rsidR="00F02512" w:rsidRDefault="00F02512" w:rsidP="0062762C">
            <w:pPr>
              <w:pStyle w:val="Default"/>
              <w:rPr>
                <w:sz w:val="20"/>
                <w:szCs w:val="20"/>
              </w:rPr>
            </w:pPr>
            <w:r>
              <w:rPr>
                <w:sz w:val="20"/>
                <w:szCs w:val="20"/>
              </w:rPr>
              <w:t>Parade Gardens</w:t>
            </w:r>
          </w:p>
        </w:tc>
      </w:tr>
      <w:tr w:rsidR="00F02512" w14:paraId="190921B9" w14:textId="77777777" w:rsidTr="0062762C">
        <w:tblPrEx>
          <w:tblCellMar>
            <w:top w:w="0" w:type="dxa"/>
            <w:bottom w:w="0" w:type="dxa"/>
          </w:tblCellMar>
        </w:tblPrEx>
        <w:trPr>
          <w:trHeight w:val="213"/>
        </w:trPr>
        <w:tc>
          <w:tcPr>
            <w:tcW w:w="4820" w:type="dxa"/>
            <w:gridSpan w:val="2"/>
            <w:tcBorders>
              <w:top w:val="none" w:sz="6" w:space="0" w:color="auto"/>
              <w:bottom w:val="none" w:sz="6" w:space="0" w:color="auto"/>
              <w:right w:val="none" w:sz="6" w:space="0" w:color="auto"/>
            </w:tcBorders>
          </w:tcPr>
          <w:p w14:paraId="6F513272" w14:textId="77777777" w:rsidR="00F02512" w:rsidRDefault="00F02512" w:rsidP="0062762C">
            <w:pPr>
              <w:pStyle w:val="Default"/>
              <w:rPr>
                <w:sz w:val="20"/>
                <w:szCs w:val="20"/>
              </w:rPr>
            </w:pPr>
            <w:r>
              <w:rPr>
                <w:b/>
                <w:bCs/>
                <w:sz w:val="20"/>
                <w:szCs w:val="20"/>
              </w:rPr>
              <w:t xml:space="preserve">Westmoreland </w:t>
            </w:r>
          </w:p>
        </w:tc>
      </w:tr>
      <w:tr w:rsidR="00F02512" w14:paraId="7F321B8D"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0E5F75AD" w14:textId="77777777" w:rsidR="00F02512" w:rsidRDefault="00F02512" w:rsidP="0062762C">
            <w:pPr>
              <w:pStyle w:val="Default"/>
              <w:rPr>
                <w:sz w:val="20"/>
                <w:szCs w:val="20"/>
              </w:rPr>
            </w:pPr>
            <w:r>
              <w:rPr>
                <w:sz w:val="20"/>
                <w:szCs w:val="20"/>
              </w:rPr>
              <w:t>Savannah La Mar (Russia and surrounding areas)</w:t>
            </w:r>
          </w:p>
        </w:tc>
      </w:tr>
      <w:tr w:rsidR="00F02512" w14:paraId="078A248A" w14:textId="77777777" w:rsidTr="0062762C">
        <w:tblPrEx>
          <w:tblCellMar>
            <w:top w:w="0" w:type="dxa"/>
            <w:bottom w:w="0" w:type="dxa"/>
          </w:tblCellMar>
        </w:tblPrEx>
        <w:trPr>
          <w:gridAfter w:val="1"/>
          <w:wAfter w:w="34" w:type="dxa"/>
          <w:trHeight w:val="93"/>
        </w:trPr>
        <w:tc>
          <w:tcPr>
            <w:tcW w:w="4786" w:type="dxa"/>
            <w:tcBorders>
              <w:top w:val="none" w:sz="6" w:space="0" w:color="auto"/>
              <w:bottom w:val="none" w:sz="6" w:space="0" w:color="auto"/>
            </w:tcBorders>
          </w:tcPr>
          <w:p w14:paraId="4057E8C8" w14:textId="77777777" w:rsidR="00F02512" w:rsidRDefault="00F02512" w:rsidP="0062762C">
            <w:pPr>
              <w:pStyle w:val="Default"/>
              <w:rPr>
                <w:sz w:val="20"/>
                <w:szCs w:val="20"/>
              </w:rPr>
            </w:pPr>
            <w:r>
              <w:rPr>
                <w:sz w:val="20"/>
                <w:szCs w:val="20"/>
              </w:rPr>
              <w:t xml:space="preserve">Business District </w:t>
            </w:r>
          </w:p>
        </w:tc>
      </w:tr>
      <w:tr w:rsidR="00F02512" w14:paraId="2F6F8AF0" w14:textId="77777777" w:rsidTr="0062762C">
        <w:tblPrEx>
          <w:tblCellMar>
            <w:top w:w="0" w:type="dxa"/>
            <w:bottom w:w="0" w:type="dxa"/>
          </w:tblCellMar>
        </w:tblPrEx>
        <w:trPr>
          <w:gridAfter w:val="1"/>
          <w:wAfter w:w="34" w:type="dxa"/>
          <w:trHeight w:val="93"/>
        </w:trPr>
        <w:tc>
          <w:tcPr>
            <w:tcW w:w="4786" w:type="dxa"/>
            <w:tcBorders>
              <w:top w:val="none" w:sz="6" w:space="0" w:color="auto"/>
              <w:left w:val="none" w:sz="6" w:space="0" w:color="auto"/>
              <w:bottom w:val="none" w:sz="6" w:space="0" w:color="auto"/>
              <w:right w:val="none" w:sz="6" w:space="0" w:color="auto"/>
            </w:tcBorders>
          </w:tcPr>
          <w:p w14:paraId="59A87A7A" w14:textId="77777777" w:rsidR="00F02512" w:rsidRDefault="00F02512" w:rsidP="0062762C">
            <w:pPr>
              <w:pStyle w:val="Default"/>
              <w:rPr>
                <w:sz w:val="20"/>
                <w:szCs w:val="20"/>
              </w:rPr>
            </w:pPr>
            <w:r>
              <w:rPr>
                <w:sz w:val="20"/>
                <w:szCs w:val="20"/>
              </w:rPr>
              <w:t xml:space="preserve">Grange Hill </w:t>
            </w:r>
          </w:p>
        </w:tc>
      </w:tr>
      <w:tr w:rsidR="00F02512" w14:paraId="484DC4D4" w14:textId="77777777" w:rsidTr="0062762C">
        <w:tblPrEx>
          <w:tblCellMar>
            <w:top w:w="0" w:type="dxa"/>
            <w:bottom w:w="0" w:type="dxa"/>
          </w:tblCellMar>
        </w:tblPrEx>
        <w:trPr>
          <w:gridAfter w:val="1"/>
          <w:wAfter w:w="34" w:type="dxa"/>
          <w:trHeight w:val="93"/>
        </w:trPr>
        <w:tc>
          <w:tcPr>
            <w:tcW w:w="4786" w:type="dxa"/>
            <w:tcBorders>
              <w:top w:val="none" w:sz="6" w:space="0" w:color="auto"/>
              <w:left w:val="none" w:sz="6" w:space="0" w:color="auto"/>
              <w:bottom w:val="none" w:sz="6" w:space="0" w:color="auto"/>
              <w:right w:val="none" w:sz="6" w:space="0" w:color="auto"/>
            </w:tcBorders>
          </w:tcPr>
          <w:p w14:paraId="6531F340" w14:textId="77777777" w:rsidR="00F02512" w:rsidRDefault="00F02512" w:rsidP="0062762C">
            <w:pPr>
              <w:pStyle w:val="Default"/>
              <w:rPr>
                <w:sz w:val="20"/>
                <w:szCs w:val="20"/>
              </w:rPr>
            </w:pPr>
            <w:r>
              <w:rPr>
                <w:sz w:val="20"/>
                <w:szCs w:val="20"/>
              </w:rPr>
              <w:t xml:space="preserve">Negril </w:t>
            </w:r>
          </w:p>
        </w:tc>
      </w:tr>
      <w:tr w:rsidR="00F02512" w14:paraId="02AE6359" w14:textId="77777777" w:rsidTr="0062762C">
        <w:tblPrEx>
          <w:tblCellMar>
            <w:top w:w="0" w:type="dxa"/>
            <w:bottom w:w="0" w:type="dxa"/>
          </w:tblCellMar>
        </w:tblPrEx>
        <w:trPr>
          <w:gridAfter w:val="1"/>
          <w:wAfter w:w="34" w:type="dxa"/>
          <w:trHeight w:val="93"/>
        </w:trPr>
        <w:tc>
          <w:tcPr>
            <w:tcW w:w="4786" w:type="dxa"/>
            <w:tcBorders>
              <w:top w:val="none" w:sz="6" w:space="0" w:color="auto"/>
              <w:left w:val="none" w:sz="6" w:space="0" w:color="auto"/>
              <w:bottom w:val="none" w:sz="6" w:space="0" w:color="auto"/>
              <w:right w:val="none" w:sz="6" w:space="0" w:color="auto"/>
            </w:tcBorders>
          </w:tcPr>
          <w:p w14:paraId="6A84C60A" w14:textId="77777777" w:rsidR="00F02512" w:rsidRDefault="00F02512" w:rsidP="0062762C">
            <w:pPr>
              <w:pStyle w:val="Default"/>
              <w:rPr>
                <w:sz w:val="20"/>
                <w:szCs w:val="20"/>
              </w:rPr>
            </w:pPr>
            <w:r>
              <w:rPr>
                <w:b/>
                <w:bCs/>
                <w:sz w:val="20"/>
                <w:szCs w:val="20"/>
              </w:rPr>
              <w:lastRenderedPageBreak/>
              <w:t xml:space="preserve">St. Catherine </w:t>
            </w:r>
          </w:p>
        </w:tc>
      </w:tr>
      <w:tr w:rsidR="00F02512" w14:paraId="0A07DF36" w14:textId="77777777" w:rsidTr="0062762C">
        <w:tblPrEx>
          <w:tblCellMar>
            <w:top w:w="0" w:type="dxa"/>
            <w:bottom w:w="0" w:type="dxa"/>
          </w:tblCellMar>
        </w:tblPrEx>
        <w:trPr>
          <w:gridAfter w:val="1"/>
          <w:wAfter w:w="34" w:type="dxa"/>
          <w:trHeight w:val="93"/>
        </w:trPr>
        <w:tc>
          <w:tcPr>
            <w:tcW w:w="4786" w:type="dxa"/>
            <w:tcBorders>
              <w:top w:val="none" w:sz="6" w:space="0" w:color="auto"/>
              <w:left w:val="none" w:sz="6" w:space="0" w:color="auto"/>
              <w:bottom w:val="none" w:sz="6" w:space="0" w:color="auto"/>
              <w:right w:val="none" w:sz="6" w:space="0" w:color="auto"/>
            </w:tcBorders>
          </w:tcPr>
          <w:p w14:paraId="77260E84" w14:textId="77777777" w:rsidR="00F02512" w:rsidRDefault="00F02512" w:rsidP="0062762C">
            <w:pPr>
              <w:pStyle w:val="Default"/>
              <w:rPr>
                <w:sz w:val="20"/>
                <w:szCs w:val="20"/>
              </w:rPr>
            </w:pPr>
            <w:r>
              <w:rPr>
                <w:sz w:val="20"/>
                <w:szCs w:val="20"/>
              </w:rPr>
              <w:t>Central Village</w:t>
            </w:r>
          </w:p>
        </w:tc>
      </w:tr>
      <w:tr w:rsidR="00F02512" w14:paraId="1829C50D" w14:textId="77777777" w:rsidTr="0062762C">
        <w:tblPrEx>
          <w:tblCellMar>
            <w:top w:w="0" w:type="dxa"/>
            <w:bottom w:w="0" w:type="dxa"/>
          </w:tblCellMar>
        </w:tblPrEx>
        <w:trPr>
          <w:gridAfter w:val="1"/>
          <w:wAfter w:w="34" w:type="dxa"/>
          <w:trHeight w:val="93"/>
        </w:trPr>
        <w:tc>
          <w:tcPr>
            <w:tcW w:w="4786" w:type="dxa"/>
            <w:tcBorders>
              <w:top w:val="none" w:sz="6" w:space="0" w:color="auto"/>
              <w:left w:val="none" w:sz="6" w:space="0" w:color="auto"/>
              <w:bottom w:val="none" w:sz="6" w:space="0" w:color="auto"/>
              <w:right w:val="none" w:sz="6" w:space="0" w:color="auto"/>
            </w:tcBorders>
          </w:tcPr>
          <w:p w14:paraId="6B0ACB65" w14:textId="77777777" w:rsidR="00F02512" w:rsidRDefault="00F02512" w:rsidP="0062762C">
            <w:pPr>
              <w:pStyle w:val="Default"/>
              <w:rPr>
                <w:sz w:val="20"/>
                <w:szCs w:val="20"/>
              </w:rPr>
            </w:pPr>
            <w:r>
              <w:rPr>
                <w:sz w:val="20"/>
                <w:szCs w:val="20"/>
              </w:rPr>
              <w:t xml:space="preserve">Spanish Town Central </w:t>
            </w:r>
          </w:p>
        </w:tc>
      </w:tr>
      <w:tr w:rsidR="00F02512" w14:paraId="65787A82" w14:textId="77777777" w:rsidTr="0062762C">
        <w:tblPrEx>
          <w:tblCellMar>
            <w:top w:w="0" w:type="dxa"/>
            <w:bottom w:w="0" w:type="dxa"/>
          </w:tblCellMar>
        </w:tblPrEx>
        <w:trPr>
          <w:gridAfter w:val="1"/>
          <w:wAfter w:w="34" w:type="dxa"/>
          <w:trHeight w:val="93"/>
        </w:trPr>
        <w:tc>
          <w:tcPr>
            <w:tcW w:w="4786" w:type="dxa"/>
            <w:tcBorders>
              <w:top w:val="none" w:sz="6" w:space="0" w:color="auto"/>
              <w:left w:val="none" w:sz="6" w:space="0" w:color="auto"/>
              <w:bottom w:val="none" w:sz="6" w:space="0" w:color="auto"/>
              <w:right w:val="none" w:sz="6" w:space="0" w:color="auto"/>
            </w:tcBorders>
          </w:tcPr>
          <w:p w14:paraId="157931CE" w14:textId="77777777" w:rsidR="00F02512" w:rsidRDefault="00F02512" w:rsidP="0062762C">
            <w:pPr>
              <w:pStyle w:val="Default"/>
              <w:rPr>
                <w:sz w:val="20"/>
                <w:szCs w:val="20"/>
              </w:rPr>
            </w:pPr>
            <w:r>
              <w:rPr>
                <w:sz w:val="20"/>
                <w:szCs w:val="20"/>
              </w:rPr>
              <w:t xml:space="preserve">Linstead </w:t>
            </w:r>
          </w:p>
        </w:tc>
      </w:tr>
      <w:tr w:rsidR="00F02512" w14:paraId="6A3D98FF" w14:textId="77777777" w:rsidTr="0062762C">
        <w:tblPrEx>
          <w:tblCellMar>
            <w:top w:w="0" w:type="dxa"/>
            <w:bottom w:w="0" w:type="dxa"/>
          </w:tblCellMar>
        </w:tblPrEx>
        <w:trPr>
          <w:gridAfter w:val="1"/>
          <w:wAfter w:w="34" w:type="dxa"/>
          <w:trHeight w:val="93"/>
        </w:trPr>
        <w:tc>
          <w:tcPr>
            <w:tcW w:w="4786" w:type="dxa"/>
            <w:tcBorders>
              <w:top w:val="none" w:sz="6" w:space="0" w:color="auto"/>
              <w:left w:val="none" w:sz="6" w:space="0" w:color="auto"/>
              <w:bottom w:val="none" w:sz="6" w:space="0" w:color="auto"/>
              <w:right w:val="none" w:sz="6" w:space="0" w:color="auto"/>
            </w:tcBorders>
          </w:tcPr>
          <w:p w14:paraId="5A00C2CA" w14:textId="77777777" w:rsidR="00F02512" w:rsidRDefault="00F02512" w:rsidP="0062762C">
            <w:pPr>
              <w:pStyle w:val="Default"/>
              <w:rPr>
                <w:sz w:val="20"/>
                <w:szCs w:val="20"/>
              </w:rPr>
            </w:pPr>
            <w:r>
              <w:rPr>
                <w:sz w:val="20"/>
                <w:szCs w:val="20"/>
              </w:rPr>
              <w:t xml:space="preserve">Old Harbour </w:t>
            </w:r>
          </w:p>
        </w:tc>
      </w:tr>
      <w:tr w:rsidR="00F02512" w14:paraId="5E04B1F4" w14:textId="77777777" w:rsidTr="0062762C">
        <w:tblPrEx>
          <w:tblCellMar>
            <w:top w:w="0" w:type="dxa"/>
            <w:bottom w:w="0" w:type="dxa"/>
          </w:tblCellMar>
        </w:tblPrEx>
        <w:trPr>
          <w:gridAfter w:val="1"/>
          <w:wAfter w:w="34" w:type="dxa"/>
          <w:trHeight w:val="93"/>
        </w:trPr>
        <w:tc>
          <w:tcPr>
            <w:tcW w:w="4786" w:type="dxa"/>
            <w:tcBorders>
              <w:top w:val="none" w:sz="6" w:space="0" w:color="auto"/>
              <w:left w:val="none" w:sz="6" w:space="0" w:color="auto"/>
              <w:bottom w:val="none" w:sz="6" w:space="0" w:color="auto"/>
              <w:right w:val="none" w:sz="6" w:space="0" w:color="auto"/>
            </w:tcBorders>
          </w:tcPr>
          <w:p w14:paraId="582351C4" w14:textId="77777777" w:rsidR="00F02512" w:rsidRDefault="00F02512" w:rsidP="0062762C">
            <w:pPr>
              <w:pStyle w:val="Default"/>
              <w:rPr>
                <w:sz w:val="20"/>
                <w:szCs w:val="20"/>
              </w:rPr>
            </w:pPr>
            <w:r>
              <w:rPr>
                <w:sz w:val="20"/>
                <w:szCs w:val="20"/>
              </w:rPr>
              <w:t xml:space="preserve">Gregory Park </w:t>
            </w:r>
          </w:p>
        </w:tc>
      </w:tr>
      <w:tr w:rsidR="00F02512" w14:paraId="2D01CF21" w14:textId="77777777" w:rsidTr="0062762C">
        <w:tblPrEx>
          <w:tblCellMar>
            <w:top w:w="0" w:type="dxa"/>
            <w:bottom w:w="0" w:type="dxa"/>
          </w:tblCellMar>
        </w:tblPrEx>
        <w:trPr>
          <w:gridAfter w:val="1"/>
          <w:wAfter w:w="34" w:type="dxa"/>
          <w:trHeight w:val="93"/>
        </w:trPr>
        <w:tc>
          <w:tcPr>
            <w:tcW w:w="4786" w:type="dxa"/>
            <w:tcBorders>
              <w:top w:val="none" w:sz="6" w:space="0" w:color="auto"/>
              <w:left w:val="none" w:sz="6" w:space="0" w:color="auto"/>
              <w:bottom w:val="none" w:sz="6" w:space="0" w:color="auto"/>
              <w:right w:val="none" w:sz="6" w:space="0" w:color="auto"/>
            </w:tcBorders>
          </w:tcPr>
          <w:p w14:paraId="752BD11A" w14:textId="77777777" w:rsidR="00F02512" w:rsidRDefault="00F02512" w:rsidP="0062762C">
            <w:pPr>
              <w:pStyle w:val="Default"/>
              <w:rPr>
                <w:sz w:val="20"/>
                <w:szCs w:val="20"/>
              </w:rPr>
            </w:pPr>
          </w:p>
        </w:tc>
      </w:tr>
    </w:tbl>
    <w:p w14:paraId="178DFDC8" w14:textId="472051D8" w:rsidR="00623038" w:rsidRPr="00476E90" w:rsidRDefault="00F148F5" w:rsidP="00A04310">
      <w:pPr>
        <w:tabs>
          <w:tab w:val="left" w:pos="426"/>
        </w:tabs>
        <w:spacing w:before="120"/>
        <w:rPr>
          <w:rFonts w:ascii="Times New Roman" w:hAnsi="Times New Roman" w:cs="Times New Roman"/>
          <w:sz w:val="24"/>
          <w:szCs w:val="24"/>
        </w:rPr>
      </w:pPr>
      <w:r>
        <w:br/>
      </w:r>
      <w:r w:rsidRPr="00982C4A">
        <w:rPr>
          <w:b/>
          <w:shd w:val="clear" w:color="auto" w:fill="BFBFBF" w:themeFill="background1" w:themeFillShade="BF"/>
        </w:rPr>
        <w:t>The following types of activities are examples of what may be financed under this Call for Proposals</w:t>
      </w:r>
      <w:r w:rsidR="00982C4A" w:rsidRPr="00982C4A">
        <w:rPr>
          <w:b/>
          <w:shd w:val="clear" w:color="auto" w:fill="BFBFBF" w:themeFill="background1" w:themeFillShade="BF"/>
        </w:rPr>
        <w:t>/Concepts</w:t>
      </w:r>
      <w:r>
        <w:br/>
        <w:t>Training workshops, public/community forums, use of community drama and street theatre to reduce opportunities for violence; community safety through presentations, among other types of appropriate activities, engagement of vulnerable populations through social media and other innovative and effective media</w:t>
      </w:r>
      <w:r w:rsidR="004236A2">
        <w:t>, support to establish income generating opportunities</w:t>
      </w:r>
      <w:r>
        <w:t>.</w:t>
      </w:r>
      <w:r w:rsidR="00EE66C5">
        <w:t xml:space="preserve"> </w:t>
      </w:r>
      <w:r w:rsidR="00F02470">
        <w:br/>
      </w:r>
      <w:r w:rsidR="00EE66C5">
        <w:t xml:space="preserve">NB. Applicants must demonstrate relation between the </w:t>
      </w:r>
      <w:r w:rsidR="00BA4013">
        <w:t>type</w:t>
      </w:r>
      <w:r w:rsidR="00EE66C5">
        <w:t xml:space="preserve"> of activities and the objectives of the action</w:t>
      </w:r>
      <w:r w:rsidR="00CA5484">
        <w:t>.</w:t>
      </w:r>
      <w:r>
        <w:t xml:space="preserve"> </w:t>
      </w:r>
      <w:r>
        <w:br/>
      </w:r>
      <w:r>
        <w:br/>
      </w:r>
      <w:r w:rsidR="00016E4D" w:rsidRPr="00CE3F14">
        <w:rPr>
          <w:rFonts w:ascii="Times New Roman" w:hAnsi="Times New Roman" w:cs="Times New Roman"/>
          <w:b/>
          <w:sz w:val="24"/>
          <w:szCs w:val="24"/>
          <w:u w:val="single"/>
          <w:shd w:val="clear" w:color="auto" w:fill="BFBFBF" w:themeFill="background1" w:themeFillShade="BF"/>
        </w:rPr>
        <w:t xml:space="preserve">Proposals </w:t>
      </w:r>
      <w:r w:rsidR="00623038" w:rsidRPr="00CE3F14">
        <w:rPr>
          <w:rFonts w:ascii="Times New Roman" w:hAnsi="Times New Roman" w:cs="Times New Roman"/>
          <w:b/>
          <w:sz w:val="24"/>
          <w:szCs w:val="24"/>
          <w:u w:val="single"/>
          <w:shd w:val="clear" w:color="auto" w:fill="BFBFBF" w:themeFill="background1" w:themeFillShade="BF"/>
        </w:rPr>
        <w:t>per applicant</w:t>
      </w:r>
    </w:p>
    <w:p w14:paraId="3D4D961B" w14:textId="77777777" w:rsidR="00623038" w:rsidRPr="007756A8" w:rsidRDefault="00623038" w:rsidP="00623038">
      <w:pPr>
        <w:pStyle w:val="ListParagraph"/>
        <w:numPr>
          <w:ilvl w:val="0"/>
          <w:numId w:val="3"/>
        </w:numPr>
        <w:rPr>
          <w:rFonts w:ascii="Times New Roman" w:hAnsi="Times New Roman" w:cs="Times New Roman"/>
          <w:sz w:val="24"/>
          <w:szCs w:val="24"/>
        </w:rPr>
      </w:pPr>
      <w:r w:rsidRPr="007756A8">
        <w:rPr>
          <w:rFonts w:ascii="Times New Roman" w:hAnsi="Times New Roman" w:cs="Times New Roman"/>
          <w:sz w:val="24"/>
          <w:szCs w:val="24"/>
        </w:rPr>
        <w:t>The applicant may not submit more than one application under this Call for Proposals.</w:t>
      </w:r>
    </w:p>
    <w:p w14:paraId="64846957" w14:textId="77777777" w:rsidR="00623038" w:rsidRPr="007756A8" w:rsidRDefault="00623038" w:rsidP="00623038">
      <w:pPr>
        <w:pStyle w:val="ListParagraph"/>
        <w:numPr>
          <w:ilvl w:val="0"/>
          <w:numId w:val="3"/>
        </w:numPr>
        <w:rPr>
          <w:rFonts w:ascii="Times New Roman" w:hAnsi="Times New Roman" w:cs="Times New Roman"/>
          <w:sz w:val="24"/>
          <w:szCs w:val="24"/>
        </w:rPr>
      </w:pPr>
      <w:r w:rsidRPr="007756A8">
        <w:rPr>
          <w:rFonts w:ascii="Times New Roman" w:hAnsi="Times New Roman" w:cs="Times New Roman"/>
          <w:sz w:val="24"/>
          <w:szCs w:val="24"/>
        </w:rPr>
        <w:t>The applicant may, however, be a co-applicant in another application at the same time.</w:t>
      </w:r>
    </w:p>
    <w:p w14:paraId="46CA1F26" w14:textId="77777777" w:rsidR="00623038" w:rsidRPr="007756A8" w:rsidRDefault="00623038" w:rsidP="00623038">
      <w:pPr>
        <w:pStyle w:val="ListParagraph"/>
        <w:numPr>
          <w:ilvl w:val="0"/>
          <w:numId w:val="3"/>
        </w:numPr>
        <w:rPr>
          <w:rFonts w:ascii="Times New Roman" w:hAnsi="Times New Roman" w:cs="Times New Roman"/>
          <w:sz w:val="24"/>
          <w:szCs w:val="24"/>
        </w:rPr>
      </w:pPr>
      <w:r w:rsidRPr="007756A8">
        <w:rPr>
          <w:rFonts w:ascii="Times New Roman" w:hAnsi="Times New Roman" w:cs="Times New Roman"/>
          <w:sz w:val="24"/>
          <w:szCs w:val="24"/>
        </w:rPr>
        <w:t xml:space="preserve">An Applicant/Co-applicant may not be awarded more than one grant under this </w:t>
      </w:r>
      <w:r w:rsidR="00F650B9" w:rsidRPr="007756A8">
        <w:rPr>
          <w:rFonts w:ascii="Times New Roman" w:hAnsi="Times New Roman" w:cs="Times New Roman"/>
          <w:sz w:val="24"/>
          <w:szCs w:val="24"/>
        </w:rPr>
        <w:t>C</w:t>
      </w:r>
      <w:r w:rsidRPr="007756A8">
        <w:rPr>
          <w:rFonts w:ascii="Times New Roman" w:hAnsi="Times New Roman" w:cs="Times New Roman"/>
          <w:sz w:val="24"/>
          <w:szCs w:val="24"/>
        </w:rPr>
        <w:t xml:space="preserve">all for </w:t>
      </w:r>
      <w:r w:rsidR="00F650B9" w:rsidRPr="007756A8">
        <w:rPr>
          <w:rFonts w:ascii="Times New Roman" w:hAnsi="Times New Roman" w:cs="Times New Roman"/>
          <w:sz w:val="24"/>
          <w:szCs w:val="24"/>
        </w:rPr>
        <w:t>P</w:t>
      </w:r>
      <w:r w:rsidRPr="007756A8">
        <w:rPr>
          <w:rFonts w:ascii="Times New Roman" w:hAnsi="Times New Roman" w:cs="Times New Roman"/>
          <w:sz w:val="24"/>
          <w:szCs w:val="24"/>
        </w:rPr>
        <w:t>roposal</w:t>
      </w:r>
      <w:r w:rsidR="00F650B9" w:rsidRPr="007756A8">
        <w:rPr>
          <w:rFonts w:ascii="Times New Roman" w:hAnsi="Times New Roman" w:cs="Times New Roman"/>
          <w:sz w:val="24"/>
          <w:szCs w:val="24"/>
        </w:rPr>
        <w:t>s</w:t>
      </w:r>
    </w:p>
    <w:p w14:paraId="5319C7E6" w14:textId="6BDE5A44" w:rsidR="00623038" w:rsidRPr="007756A8" w:rsidRDefault="00623038" w:rsidP="00623038">
      <w:pPr>
        <w:rPr>
          <w:rFonts w:ascii="Times New Roman" w:hAnsi="Times New Roman" w:cs="Times New Roman"/>
          <w:b/>
          <w:sz w:val="24"/>
          <w:szCs w:val="24"/>
          <w:u w:val="single"/>
        </w:rPr>
      </w:pPr>
      <w:r w:rsidRPr="000A3B0C">
        <w:rPr>
          <w:rFonts w:ascii="Times New Roman" w:hAnsi="Times New Roman" w:cs="Times New Roman"/>
          <w:b/>
          <w:sz w:val="24"/>
          <w:szCs w:val="24"/>
          <w:u w:val="single"/>
          <w:shd w:val="clear" w:color="auto" w:fill="BFBFBF" w:themeFill="background1" w:themeFillShade="BF"/>
        </w:rPr>
        <w:t>Eligibility of Costs: Costs that can be included</w:t>
      </w:r>
    </w:p>
    <w:p w14:paraId="1F16AD41" w14:textId="421C66F6" w:rsidR="00623038" w:rsidRPr="007756A8" w:rsidRDefault="00623038" w:rsidP="00623038">
      <w:pPr>
        <w:rPr>
          <w:rFonts w:ascii="Times New Roman" w:hAnsi="Times New Roman" w:cs="Times New Roman"/>
          <w:b/>
          <w:sz w:val="24"/>
          <w:szCs w:val="24"/>
          <w:u w:val="single"/>
        </w:rPr>
      </w:pPr>
      <w:r w:rsidRPr="007756A8">
        <w:rPr>
          <w:rFonts w:ascii="Times New Roman" w:hAnsi="Times New Roman" w:cs="Times New Roman"/>
          <w:b/>
          <w:sz w:val="24"/>
          <w:szCs w:val="24"/>
          <w:u w:val="single"/>
        </w:rPr>
        <w:t>Eligible direct costs</w:t>
      </w:r>
    </w:p>
    <w:p w14:paraId="44016344" w14:textId="37D10AF6" w:rsidR="00623038" w:rsidRPr="00800E39" w:rsidRDefault="00623038" w:rsidP="00800E39">
      <w:pPr>
        <w:rPr>
          <w:rFonts w:ascii="Times New Roman" w:hAnsi="Times New Roman" w:cs="Times New Roman"/>
          <w:sz w:val="24"/>
          <w:szCs w:val="24"/>
        </w:rPr>
      </w:pPr>
      <w:r w:rsidRPr="00800E39">
        <w:rPr>
          <w:rFonts w:ascii="Times New Roman" w:hAnsi="Times New Roman" w:cs="Times New Roman"/>
          <w:sz w:val="24"/>
          <w:szCs w:val="24"/>
        </w:rPr>
        <w:t xml:space="preserve">The following direct costs of the </w:t>
      </w:r>
      <w:r w:rsidR="00800E39">
        <w:rPr>
          <w:rFonts w:ascii="Times New Roman" w:hAnsi="Times New Roman" w:cs="Times New Roman"/>
          <w:sz w:val="24"/>
          <w:szCs w:val="24"/>
        </w:rPr>
        <w:t>applicant</w:t>
      </w:r>
      <w:r w:rsidRPr="00800E39">
        <w:rPr>
          <w:rFonts w:ascii="Times New Roman" w:hAnsi="Times New Roman" w:cs="Times New Roman"/>
          <w:sz w:val="24"/>
          <w:szCs w:val="24"/>
        </w:rPr>
        <w:t xml:space="preserve"> shall be </w:t>
      </w:r>
      <w:r w:rsidR="00800E39">
        <w:rPr>
          <w:rFonts w:ascii="Times New Roman" w:hAnsi="Times New Roman" w:cs="Times New Roman"/>
          <w:sz w:val="24"/>
          <w:szCs w:val="24"/>
        </w:rPr>
        <w:t xml:space="preserve">considered </w:t>
      </w:r>
      <w:r w:rsidRPr="00800E39">
        <w:rPr>
          <w:rFonts w:ascii="Times New Roman" w:hAnsi="Times New Roman" w:cs="Times New Roman"/>
          <w:sz w:val="24"/>
          <w:szCs w:val="24"/>
        </w:rPr>
        <w:t>eligible:</w:t>
      </w:r>
    </w:p>
    <w:p w14:paraId="0449FA94" w14:textId="63D9C607"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 xml:space="preserve">The costs of staff assigned to the Action, corresponding to actual gross salaries including </w:t>
      </w:r>
      <w:r w:rsidR="00596EA2">
        <w:rPr>
          <w:rFonts w:ascii="Times New Roman" w:hAnsi="Times New Roman" w:cs="Times New Roman"/>
          <w:sz w:val="24"/>
          <w:szCs w:val="24"/>
        </w:rPr>
        <w:t>statutory</w:t>
      </w:r>
      <w:r w:rsidRPr="007756A8">
        <w:rPr>
          <w:rFonts w:ascii="Times New Roman" w:hAnsi="Times New Roman" w:cs="Times New Roman"/>
          <w:sz w:val="24"/>
          <w:szCs w:val="24"/>
        </w:rPr>
        <w:t xml:space="preserve"> charges and other remuneration-related costs; salaries and costs shall not exceed those normally borne by the </w:t>
      </w:r>
      <w:r w:rsidR="002E492C">
        <w:rPr>
          <w:rFonts w:ascii="Times New Roman" w:hAnsi="Times New Roman" w:cs="Times New Roman"/>
          <w:sz w:val="24"/>
          <w:szCs w:val="24"/>
        </w:rPr>
        <w:t>applicant</w:t>
      </w:r>
    </w:p>
    <w:p w14:paraId="251EAF32" w14:textId="76530534"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 xml:space="preserve">Travel and subsistence costs for staff and other persons taking part in the action provided they are rational and do not exceed those normally borne by the </w:t>
      </w:r>
      <w:r w:rsidR="002E492C">
        <w:rPr>
          <w:rFonts w:ascii="Times New Roman" w:hAnsi="Times New Roman" w:cs="Times New Roman"/>
          <w:sz w:val="24"/>
          <w:szCs w:val="24"/>
        </w:rPr>
        <w:t xml:space="preserve">applicant for similar activities </w:t>
      </w:r>
    </w:p>
    <w:p w14:paraId="601FBFFE" w14:textId="5101ABA8" w:rsidR="00016E4D" w:rsidRDefault="00DC2B6C" w:rsidP="0062303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00623038" w:rsidRPr="007756A8">
        <w:rPr>
          <w:rFonts w:ascii="Times New Roman" w:hAnsi="Times New Roman" w:cs="Times New Roman"/>
          <w:sz w:val="24"/>
          <w:szCs w:val="24"/>
        </w:rPr>
        <w:t>osts for equipment and supplies specifically for the purpose of the Action</w:t>
      </w:r>
    </w:p>
    <w:p w14:paraId="2533EA2E" w14:textId="0E58B26F"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Costs of consumables</w:t>
      </w:r>
      <w:r w:rsidR="00DC2B6C">
        <w:rPr>
          <w:rFonts w:ascii="Times New Roman" w:hAnsi="Times New Roman" w:cs="Times New Roman"/>
          <w:sz w:val="24"/>
          <w:szCs w:val="24"/>
        </w:rPr>
        <w:t xml:space="preserve"> (stationery, etc)</w:t>
      </w:r>
    </w:p>
    <w:p w14:paraId="53ABB875" w14:textId="6CB304E8"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 xml:space="preserve">Duties, taxes and charges, including GCT paid and are not recoverable by the </w:t>
      </w:r>
      <w:r w:rsidR="00DC2B6C">
        <w:rPr>
          <w:rFonts w:ascii="Times New Roman" w:hAnsi="Times New Roman" w:cs="Times New Roman"/>
          <w:sz w:val="24"/>
          <w:szCs w:val="24"/>
        </w:rPr>
        <w:t>applicant</w:t>
      </w:r>
    </w:p>
    <w:p w14:paraId="7DD040DC" w14:textId="77777777"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Overhead Costs</w:t>
      </w:r>
    </w:p>
    <w:p w14:paraId="77757500" w14:textId="77777777" w:rsidR="00CE3F14" w:rsidRDefault="00CE3F14" w:rsidP="00623038">
      <w:pPr>
        <w:rPr>
          <w:rFonts w:ascii="Times New Roman" w:hAnsi="Times New Roman" w:cs="Times New Roman"/>
          <w:b/>
          <w:sz w:val="24"/>
          <w:szCs w:val="24"/>
          <w:u w:val="single"/>
          <w:shd w:val="clear" w:color="auto" w:fill="BFBFBF" w:themeFill="background1" w:themeFillShade="BF"/>
        </w:rPr>
      </w:pPr>
    </w:p>
    <w:p w14:paraId="294526C7" w14:textId="77777777" w:rsidR="00CE3F14" w:rsidRDefault="00CE3F14" w:rsidP="00623038">
      <w:pPr>
        <w:rPr>
          <w:rFonts w:ascii="Times New Roman" w:hAnsi="Times New Roman" w:cs="Times New Roman"/>
          <w:b/>
          <w:sz w:val="24"/>
          <w:szCs w:val="24"/>
          <w:u w:val="single"/>
          <w:shd w:val="clear" w:color="auto" w:fill="BFBFBF" w:themeFill="background1" w:themeFillShade="BF"/>
        </w:rPr>
      </w:pPr>
    </w:p>
    <w:p w14:paraId="39552864" w14:textId="701679A2" w:rsidR="00623038" w:rsidRPr="007756A8" w:rsidRDefault="00623038" w:rsidP="00623038">
      <w:pPr>
        <w:rPr>
          <w:rFonts w:ascii="Times New Roman" w:hAnsi="Times New Roman" w:cs="Times New Roman"/>
          <w:sz w:val="24"/>
          <w:szCs w:val="24"/>
        </w:rPr>
      </w:pPr>
      <w:r w:rsidRPr="000A3B0C">
        <w:rPr>
          <w:rFonts w:ascii="Times New Roman" w:hAnsi="Times New Roman" w:cs="Times New Roman"/>
          <w:b/>
          <w:sz w:val="24"/>
          <w:szCs w:val="24"/>
          <w:u w:val="single"/>
          <w:shd w:val="clear" w:color="auto" w:fill="BFBFBF" w:themeFill="background1" w:themeFillShade="BF"/>
        </w:rPr>
        <w:t>Contingency Reserve</w:t>
      </w:r>
    </w:p>
    <w:p w14:paraId="12FB5089" w14:textId="45D2802E"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sz w:val="24"/>
          <w:szCs w:val="24"/>
        </w:rPr>
        <w:t>The budget may include a contingency reserve not exceeding 5</w:t>
      </w:r>
      <w:r w:rsidRPr="007756A8">
        <w:rPr>
          <w:rFonts w:ascii="Times New Roman" w:hAnsi="Times New Roman" w:cs="Times New Roman"/>
          <w:w w:val="50"/>
          <w:sz w:val="24"/>
          <w:szCs w:val="24"/>
        </w:rPr>
        <w:t> </w:t>
      </w:r>
      <w:r w:rsidRPr="007756A8">
        <w:rPr>
          <w:rFonts w:ascii="Times New Roman" w:hAnsi="Times New Roman" w:cs="Times New Roman"/>
          <w:sz w:val="24"/>
          <w:szCs w:val="24"/>
        </w:rPr>
        <w:t xml:space="preserve">% of the estimated direct eligible costs. It can only be used with the </w:t>
      </w:r>
      <w:r w:rsidRPr="007756A8">
        <w:rPr>
          <w:rFonts w:ascii="Times New Roman" w:hAnsi="Times New Roman" w:cs="Times New Roman"/>
          <w:b/>
          <w:sz w:val="24"/>
          <w:szCs w:val="24"/>
        </w:rPr>
        <w:t>prior written</w:t>
      </w:r>
      <w:r w:rsidRPr="007756A8">
        <w:rPr>
          <w:rFonts w:ascii="Times New Roman" w:hAnsi="Times New Roman" w:cs="Times New Roman"/>
          <w:sz w:val="24"/>
          <w:szCs w:val="24"/>
        </w:rPr>
        <w:t xml:space="preserve"> </w:t>
      </w:r>
      <w:r w:rsidRPr="007756A8">
        <w:rPr>
          <w:rFonts w:ascii="Times New Roman" w:hAnsi="Times New Roman" w:cs="Times New Roman"/>
          <w:b/>
          <w:sz w:val="24"/>
          <w:szCs w:val="24"/>
        </w:rPr>
        <w:t>authori</w:t>
      </w:r>
      <w:r w:rsidR="00F650B9" w:rsidRPr="007756A8">
        <w:rPr>
          <w:rFonts w:ascii="Times New Roman" w:hAnsi="Times New Roman" w:cs="Times New Roman"/>
          <w:b/>
          <w:sz w:val="24"/>
          <w:szCs w:val="24"/>
        </w:rPr>
        <w:t>z</w:t>
      </w:r>
      <w:r w:rsidRPr="007756A8">
        <w:rPr>
          <w:rFonts w:ascii="Times New Roman" w:hAnsi="Times New Roman" w:cs="Times New Roman"/>
          <w:b/>
          <w:sz w:val="24"/>
          <w:szCs w:val="24"/>
        </w:rPr>
        <w:t>ation</w:t>
      </w:r>
      <w:r w:rsidRPr="007756A8">
        <w:rPr>
          <w:rFonts w:ascii="Times New Roman" w:hAnsi="Times New Roman" w:cs="Times New Roman"/>
          <w:sz w:val="24"/>
          <w:szCs w:val="24"/>
        </w:rPr>
        <w:t xml:space="preserve"> of the Contracting Authority</w:t>
      </w:r>
      <w:r w:rsidR="00BC15F7">
        <w:rPr>
          <w:rFonts w:ascii="Times New Roman" w:hAnsi="Times New Roman" w:cs="Times New Roman"/>
          <w:sz w:val="24"/>
          <w:szCs w:val="24"/>
        </w:rPr>
        <w:t xml:space="preserve"> (RISE Life Management Services)</w:t>
      </w:r>
      <w:r w:rsidRPr="007756A8">
        <w:rPr>
          <w:rFonts w:ascii="Times New Roman" w:hAnsi="Times New Roman" w:cs="Times New Roman"/>
          <w:sz w:val="24"/>
          <w:szCs w:val="24"/>
        </w:rPr>
        <w:t>.</w:t>
      </w:r>
    </w:p>
    <w:p w14:paraId="4E4D40D4" w14:textId="248F6AEA" w:rsidR="00623038" w:rsidRPr="007756A8" w:rsidRDefault="00623038" w:rsidP="00623038">
      <w:pPr>
        <w:rPr>
          <w:rFonts w:ascii="Times New Roman" w:hAnsi="Times New Roman" w:cs="Times New Roman"/>
          <w:b/>
          <w:sz w:val="24"/>
          <w:szCs w:val="24"/>
          <w:u w:val="single"/>
        </w:rPr>
      </w:pPr>
      <w:r w:rsidRPr="000A3B0C">
        <w:rPr>
          <w:rFonts w:ascii="Times New Roman" w:hAnsi="Times New Roman" w:cs="Times New Roman"/>
          <w:b/>
          <w:sz w:val="24"/>
          <w:szCs w:val="24"/>
          <w:u w:val="single"/>
          <w:shd w:val="clear" w:color="auto" w:fill="BFBFBF" w:themeFill="background1" w:themeFillShade="BF"/>
        </w:rPr>
        <w:t>Eligible indirect costs</w:t>
      </w:r>
      <w:r w:rsidRPr="007756A8">
        <w:rPr>
          <w:rFonts w:ascii="Times New Roman" w:hAnsi="Times New Roman" w:cs="Times New Roman"/>
          <w:b/>
          <w:sz w:val="24"/>
          <w:szCs w:val="24"/>
          <w:u w:val="single"/>
        </w:rPr>
        <w:br/>
      </w:r>
      <w:r w:rsidRPr="007756A8">
        <w:rPr>
          <w:rFonts w:ascii="Times New Roman" w:hAnsi="Times New Roman" w:cs="Times New Roman"/>
          <w:sz w:val="24"/>
          <w:szCs w:val="24"/>
          <w:lang w:eastAsia="en-GB" w:bidi="kn-IN"/>
        </w:rPr>
        <w:t>The indirect costs incurred in carrying out the action must not exceed 7</w:t>
      </w:r>
      <w:r w:rsidRPr="007756A8">
        <w:rPr>
          <w:rFonts w:ascii="Times New Roman" w:hAnsi="Times New Roman" w:cs="Times New Roman"/>
          <w:w w:val="50"/>
          <w:sz w:val="24"/>
          <w:szCs w:val="24"/>
          <w:lang w:eastAsia="en-GB" w:bidi="kn-IN"/>
        </w:rPr>
        <w:t> </w:t>
      </w:r>
      <w:r w:rsidRPr="007756A8">
        <w:rPr>
          <w:rFonts w:ascii="Times New Roman" w:hAnsi="Times New Roman" w:cs="Times New Roman"/>
          <w:sz w:val="24"/>
          <w:szCs w:val="24"/>
          <w:lang w:eastAsia="en-GB" w:bidi="kn-IN"/>
        </w:rPr>
        <w:t>% of the estimated total eligible direct costs</w:t>
      </w:r>
      <w:r w:rsidR="00BE271C">
        <w:rPr>
          <w:rFonts w:ascii="Times New Roman" w:hAnsi="Times New Roman" w:cs="Times New Roman"/>
          <w:sz w:val="24"/>
          <w:szCs w:val="24"/>
          <w:lang w:eastAsia="en-GB" w:bidi="kn-IN"/>
        </w:rPr>
        <w:t xml:space="preserve"> before contingencies applicant contribution</w:t>
      </w:r>
      <w:r w:rsidRPr="007756A8">
        <w:rPr>
          <w:rFonts w:ascii="Times New Roman" w:hAnsi="Times New Roman" w:cs="Times New Roman"/>
          <w:sz w:val="24"/>
          <w:szCs w:val="24"/>
          <w:lang w:eastAsia="en-GB" w:bidi="kn-IN"/>
        </w:rPr>
        <w:t>.</w:t>
      </w:r>
      <w:r w:rsidR="00BE271C">
        <w:rPr>
          <w:rFonts w:ascii="Times New Roman" w:hAnsi="Times New Roman" w:cs="Times New Roman"/>
          <w:sz w:val="24"/>
          <w:szCs w:val="24"/>
          <w:lang w:eastAsia="en-GB" w:bidi="kn-IN"/>
        </w:rPr>
        <w:t xml:space="preserve"> This must therefore be limited to 7% of the request made </w:t>
      </w:r>
      <w:r w:rsidR="00BE12AF">
        <w:rPr>
          <w:rFonts w:ascii="Times New Roman" w:hAnsi="Times New Roman" w:cs="Times New Roman"/>
          <w:sz w:val="24"/>
          <w:szCs w:val="24"/>
          <w:lang w:eastAsia="en-GB" w:bidi="kn-IN"/>
        </w:rPr>
        <w:t>for funding from this Call. N</w:t>
      </w:r>
      <w:r w:rsidRPr="007756A8">
        <w:rPr>
          <w:rFonts w:ascii="Times New Roman" w:hAnsi="Times New Roman" w:cs="Times New Roman"/>
          <w:sz w:val="24"/>
          <w:szCs w:val="24"/>
          <w:lang w:eastAsia="en-GB" w:bidi="kn-IN"/>
        </w:rPr>
        <w:t>o supporting document</w:t>
      </w:r>
      <w:r w:rsidR="00FC6C6A">
        <w:rPr>
          <w:rFonts w:ascii="Times New Roman" w:hAnsi="Times New Roman" w:cs="Times New Roman"/>
          <w:sz w:val="24"/>
          <w:szCs w:val="24"/>
          <w:lang w:eastAsia="en-GB" w:bidi="kn-IN"/>
        </w:rPr>
        <w:t>ation</w:t>
      </w:r>
      <w:r w:rsidRPr="007756A8">
        <w:rPr>
          <w:rFonts w:ascii="Times New Roman" w:hAnsi="Times New Roman" w:cs="Times New Roman"/>
          <w:sz w:val="24"/>
          <w:szCs w:val="24"/>
          <w:lang w:eastAsia="en-GB" w:bidi="kn-IN"/>
        </w:rPr>
        <w:t xml:space="preserve"> </w:t>
      </w:r>
      <w:r w:rsidR="0009182A">
        <w:rPr>
          <w:rFonts w:ascii="Times New Roman" w:hAnsi="Times New Roman" w:cs="Times New Roman"/>
          <w:sz w:val="24"/>
          <w:szCs w:val="24"/>
          <w:lang w:eastAsia="en-GB" w:bidi="kn-IN"/>
        </w:rPr>
        <w:t>is</w:t>
      </w:r>
      <w:r w:rsidR="00FC6C6A">
        <w:rPr>
          <w:rFonts w:ascii="Times New Roman" w:hAnsi="Times New Roman" w:cs="Times New Roman"/>
          <w:sz w:val="24"/>
          <w:szCs w:val="24"/>
          <w:lang w:eastAsia="en-GB" w:bidi="kn-IN"/>
        </w:rPr>
        <w:t xml:space="preserve"> </w:t>
      </w:r>
      <w:r w:rsidRPr="007756A8">
        <w:rPr>
          <w:rFonts w:ascii="Times New Roman" w:hAnsi="Times New Roman" w:cs="Times New Roman"/>
          <w:sz w:val="24"/>
          <w:szCs w:val="24"/>
          <w:lang w:eastAsia="en-GB" w:bidi="kn-IN"/>
        </w:rPr>
        <w:t>need</w:t>
      </w:r>
      <w:r w:rsidR="00FC6C6A">
        <w:rPr>
          <w:rFonts w:ascii="Times New Roman" w:hAnsi="Times New Roman" w:cs="Times New Roman"/>
          <w:sz w:val="24"/>
          <w:szCs w:val="24"/>
          <w:lang w:eastAsia="en-GB" w:bidi="kn-IN"/>
        </w:rPr>
        <w:t>ed</w:t>
      </w:r>
      <w:r w:rsidRPr="007756A8">
        <w:rPr>
          <w:rFonts w:ascii="Times New Roman" w:hAnsi="Times New Roman" w:cs="Times New Roman"/>
          <w:sz w:val="24"/>
          <w:szCs w:val="24"/>
          <w:lang w:eastAsia="en-GB" w:bidi="kn-IN"/>
        </w:rPr>
        <w:t xml:space="preserve"> </w:t>
      </w:r>
      <w:r w:rsidR="00FC6C6A">
        <w:rPr>
          <w:rFonts w:ascii="Times New Roman" w:hAnsi="Times New Roman" w:cs="Times New Roman"/>
          <w:sz w:val="24"/>
          <w:szCs w:val="24"/>
          <w:lang w:eastAsia="en-GB" w:bidi="kn-IN"/>
        </w:rPr>
        <w:t>for this expenditure to be realized</w:t>
      </w:r>
      <w:r w:rsidRPr="007756A8">
        <w:rPr>
          <w:rFonts w:ascii="Times New Roman" w:hAnsi="Times New Roman" w:cs="Times New Roman"/>
          <w:sz w:val="24"/>
          <w:szCs w:val="24"/>
          <w:lang w:eastAsia="en-GB" w:bidi="kn-IN"/>
        </w:rPr>
        <w:t>.</w:t>
      </w:r>
    </w:p>
    <w:p w14:paraId="04BCF38A" w14:textId="0D76223C" w:rsidR="00623038" w:rsidRPr="007756A8" w:rsidRDefault="00623038" w:rsidP="00623038">
      <w:pPr>
        <w:rPr>
          <w:rFonts w:ascii="Times New Roman" w:hAnsi="Times New Roman" w:cs="Times New Roman"/>
          <w:sz w:val="24"/>
          <w:szCs w:val="24"/>
        </w:rPr>
      </w:pPr>
      <w:r w:rsidRPr="000A3B0C">
        <w:rPr>
          <w:rFonts w:ascii="Times New Roman" w:hAnsi="Times New Roman" w:cs="Times New Roman"/>
          <w:b/>
          <w:sz w:val="24"/>
          <w:szCs w:val="24"/>
          <w:u w:val="single"/>
          <w:shd w:val="clear" w:color="auto" w:fill="BFBFBF" w:themeFill="background1" w:themeFillShade="BF"/>
        </w:rPr>
        <w:t>Contributions in kind</w:t>
      </w:r>
      <w:r w:rsidRPr="007756A8">
        <w:rPr>
          <w:rFonts w:ascii="Times New Roman" w:hAnsi="Times New Roman" w:cs="Times New Roman"/>
          <w:b/>
          <w:sz w:val="24"/>
          <w:szCs w:val="24"/>
          <w:u w:val="single"/>
        </w:rPr>
        <w:br/>
      </w:r>
      <w:r w:rsidRPr="007756A8">
        <w:rPr>
          <w:rFonts w:ascii="Times New Roman" w:hAnsi="Times New Roman" w:cs="Times New Roman"/>
          <w:sz w:val="24"/>
          <w:szCs w:val="24"/>
        </w:rPr>
        <w:t>Contributions in kind mean the provision of goods or services to</w:t>
      </w:r>
      <w:r w:rsidR="0009182A">
        <w:rPr>
          <w:rFonts w:ascii="Times New Roman" w:hAnsi="Times New Roman" w:cs="Times New Roman"/>
          <w:sz w:val="24"/>
          <w:szCs w:val="24"/>
        </w:rPr>
        <w:t>wards</w:t>
      </w:r>
      <w:r w:rsidRPr="007756A8">
        <w:rPr>
          <w:rFonts w:ascii="Times New Roman" w:hAnsi="Times New Roman" w:cs="Times New Roman"/>
          <w:sz w:val="24"/>
          <w:szCs w:val="24"/>
        </w:rPr>
        <w:t xml:space="preserve"> </w:t>
      </w:r>
      <w:r w:rsidR="0009182A">
        <w:rPr>
          <w:rFonts w:ascii="Times New Roman" w:hAnsi="Times New Roman" w:cs="Times New Roman"/>
          <w:sz w:val="24"/>
          <w:szCs w:val="24"/>
        </w:rPr>
        <w:t>the implementation of the Action</w:t>
      </w:r>
      <w:r w:rsidRPr="007756A8">
        <w:rPr>
          <w:rFonts w:ascii="Times New Roman" w:hAnsi="Times New Roman" w:cs="Times New Roman"/>
          <w:sz w:val="24"/>
          <w:szCs w:val="24"/>
          <w:lang w:eastAsia="en-GB" w:bidi="kn-IN"/>
        </w:rPr>
        <w:t xml:space="preserve"> </w:t>
      </w:r>
      <w:r w:rsidRPr="007756A8">
        <w:rPr>
          <w:rFonts w:ascii="Times New Roman" w:hAnsi="Times New Roman" w:cs="Times New Roman"/>
          <w:sz w:val="24"/>
          <w:szCs w:val="24"/>
        </w:rPr>
        <w:t>free of charge by a third party</w:t>
      </w:r>
      <w:r w:rsidR="0009182A">
        <w:rPr>
          <w:rFonts w:ascii="Times New Roman" w:hAnsi="Times New Roman" w:cs="Times New Roman"/>
          <w:sz w:val="24"/>
          <w:szCs w:val="24"/>
        </w:rPr>
        <w:t xml:space="preserve"> or the applicant</w:t>
      </w:r>
      <w:r w:rsidRPr="007756A8">
        <w:rPr>
          <w:rFonts w:ascii="Times New Roman" w:hAnsi="Times New Roman" w:cs="Times New Roman"/>
          <w:sz w:val="24"/>
          <w:szCs w:val="24"/>
        </w:rPr>
        <w:t xml:space="preserve">. As contributions in kind do not involve any expenditure </w:t>
      </w:r>
      <w:r w:rsidR="00056AED">
        <w:rPr>
          <w:rFonts w:ascii="Times New Roman" w:hAnsi="Times New Roman" w:cs="Times New Roman"/>
          <w:sz w:val="24"/>
          <w:szCs w:val="24"/>
        </w:rPr>
        <w:t>on the part of</w:t>
      </w:r>
      <w:r w:rsidRPr="007756A8">
        <w:rPr>
          <w:rFonts w:ascii="Times New Roman" w:hAnsi="Times New Roman" w:cs="Times New Roman"/>
          <w:sz w:val="24"/>
          <w:szCs w:val="24"/>
        </w:rPr>
        <w:t xml:space="preserve"> </w:t>
      </w:r>
      <w:r w:rsidR="00056AED">
        <w:rPr>
          <w:rFonts w:ascii="Times New Roman" w:hAnsi="Times New Roman" w:cs="Times New Roman"/>
          <w:sz w:val="24"/>
          <w:szCs w:val="24"/>
        </w:rPr>
        <w:t>the applicant</w:t>
      </w:r>
      <w:r w:rsidRPr="007756A8">
        <w:rPr>
          <w:rFonts w:ascii="Times New Roman" w:hAnsi="Times New Roman" w:cs="Times New Roman"/>
          <w:sz w:val="24"/>
          <w:szCs w:val="24"/>
        </w:rPr>
        <w:t>, they are not eligible costs</w:t>
      </w:r>
      <w:r w:rsidR="00056AED">
        <w:rPr>
          <w:rFonts w:ascii="Times New Roman" w:hAnsi="Times New Roman" w:cs="Times New Roman"/>
          <w:sz w:val="24"/>
          <w:szCs w:val="24"/>
        </w:rPr>
        <w:t xml:space="preserve"> and </w:t>
      </w:r>
      <w:r w:rsidR="00056AED" w:rsidRPr="00056AED">
        <w:rPr>
          <w:rFonts w:ascii="Times New Roman" w:hAnsi="Times New Roman" w:cs="Times New Roman"/>
          <w:b/>
          <w:bCs/>
          <w:sz w:val="24"/>
          <w:szCs w:val="24"/>
        </w:rPr>
        <w:t>CANNOT</w:t>
      </w:r>
      <w:r w:rsidR="00056AED">
        <w:rPr>
          <w:rFonts w:ascii="Times New Roman" w:hAnsi="Times New Roman" w:cs="Times New Roman"/>
          <w:sz w:val="24"/>
          <w:szCs w:val="24"/>
        </w:rPr>
        <w:t xml:space="preserve"> be treated as applicant contribution</w:t>
      </w:r>
      <w:r w:rsidRPr="007756A8">
        <w:rPr>
          <w:rFonts w:ascii="Times New Roman" w:hAnsi="Times New Roman" w:cs="Times New Roman"/>
          <w:sz w:val="24"/>
          <w:szCs w:val="24"/>
        </w:rPr>
        <w:t xml:space="preserve">. </w:t>
      </w:r>
    </w:p>
    <w:p w14:paraId="6EF65FA5" w14:textId="77777777" w:rsidR="00623038" w:rsidRPr="007756A8" w:rsidRDefault="00623038" w:rsidP="00623038">
      <w:pPr>
        <w:rPr>
          <w:rFonts w:ascii="Times New Roman" w:hAnsi="Times New Roman" w:cs="Times New Roman"/>
          <w:b/>
          <w:sz w:val="24"/>
          <w:szCs w:val="24"/>
          <w:u w:val="single"/>
        </w:rPr>
      </w:pPr>
      <w:r w:rsidRPr="00307D27">
        <w:rPr>
          <w:rFonts w:ascii="Times New Roman" w:hAnsi="Times New Roman" w:cs="Times New Roman"/>
          <w:b/>
          <w:sz w:val="24"/>
          <w:szCs w:val="24"/>
          <w:u w:val="single"/>
          <w:shd w:val="clear" w:color="auto" w:fill="BFBFBF" w:themeFill="background1" w:themeFillShade="BF"/>
        </w:rPr>
        <w:t>Ineligible costs</w:t>
      </w:r>
    </w:p>
    <w:p w14:paraId="7CC025D6" w14:textId="77777777"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sz w:val="24"/>
          <w:szCs w:val="24"/>
        </w:rPr>
        <w:t>The following costs are not eligible:</w:t>
      </w:r>
    </w:p>
    <w:p w14:paraId="72788E55"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debts and debt service charges (interest);</w:t>
      </w:r>
    </w:p>
    <w:p w14:paraId="15F93C02"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provisions for losses or potential future liabilities;</w:t>
      </w:r>
    </w:p>
    <w:p w14:paraId="157FC636" w14:textId="314F4F93"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 xml:space="preserve">costs declared by the Beneficiary(ies) and financed by another action or work programme receiving a </w:t>
      </w:r>
      <w:r w:rsidR="00740759">
        <w:rPr>
          <w:rFonts w:ascii="Times New Roman" w:hAnsi="Times New Roman" w:cs="Times New Roman"/>
          <w:sz w:val="24"/>
          <w:szCs w:val="24"/>
        </w:rPr>
        <w:t xml:space="preserve">European </w:t>
      </w:r>
      <w:r w:rsidRPr="007756A8">
        <w:rPr>
          <w:rFonts w:ascii="Times New Roman" w:hAnsi="Times New Roman" w:cs="Times New Roman"/>
          <w:sz w:val="24"/>
          <w:szCs w:val="24"/>
        </w:rPr>
        <w:t>Union</w:t>
      </w:r>
      <w:r w:rsidR="00740759">
        <w:rPr>
          <w:rFonts w:ascii="Times New Roman" w:hAnsi="Times New Roman" w:cs="Times New Roman"/>
          <w:sz w:val="24"/>
          <w:szCs w:val="24"/>
        </w:rPr>
        <w:t xml:space="preserve"> (EU)</w:t>
      </w:r>
      <w:r w:rsidRPr="007756A8">
        <w:rPr>
          <w:rFonts w:ascii="Times New Roman" w:hAnsi="Times New Roman" w:cs="Times New Roman"/>
          <w:sz w:val="24"/>
          <w:szCs w:val="24"/>
        </w:rPr>
        <w:t xml:space="preserve"> (including through EDF) grant;</w:t>
      </w:r>
    </w:p>
    <w:p w14:paraId="61E3C2E8"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purchases of land or buildings, except where necessary for the direct implementation of the action, in which case ownership must be transferred to the final beneficiaries and/or local Beneficiary(ies), at the latest at the end of the action;</w:t>
      </w:r>
    </w:p>
    <w:p w14:paraId="79B92E72"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currency exchange losses;</w:t>
      </w:r>
    </w:p>
    <w:p w14:paraId="5037C865"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credit to third parties.</w:t>
      </w:r>
    </w:p>
    <w:p w14:paraId="070FA3A3"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 xml:space="preserve">salary costs of the personnel of national administrations </w:t>
      </w:r>
    </w:p>
    <w:p w14:paraId="7E0548A0" w14:textId="32BFAEA4" w:rsidR="00623038" w:rsidRPr="007756A8" w:rsidRDefault="00623038" w:rsidP="00623038">
      <w:pPr>
        <w:rPr>
          <w:rFonts w:ascii="Times New Roman" w:hAnsi="Times New Roman" w:cs="Times New Roman"/>
          <w:b/>
          <w:sz w:val="24"/>
          <w:szCs w:val="24"/>
        </w:rPr>
      </w:pPr>
      <w:r w:rsidRPr="007756A8">
        <w:rPr>
          <w:rFonts w:ascii="Times New Roman" w:hAnsi="Times New Roman" w:cs="Times New Roman"/>
          <w:bCs/>
          <w:sz w:val="24"/>
          <w:szCs w:val="24"/>
        </w:rPr>
        <w:t>Financial Support to third parties</w:t>
      </w:r>
      <w:r w:rsidRPr="007756A8">
        <w:rPr>
          <w:rFonts w:ascii="Times New Roman" w:hAnsi="Times New Roman" w:cs="Times New Roman"/>
          <w:b/>
          <w:sz w:val="24"/>
          <w:szCs w:val="24"/>
        </w:rPr>
        <w:t xml:space="preserve"> </w:t>
      </w:r>
      <w:r w:rsidRPr="007756A8">
        <w:rPr>
          <w:rFonts w:ascii="Times New Roman" w:hAnsi="Times New Roman" w:cs="Times New Roman"/>
          <w:sz w:val="24"/>
          <w:szCs w:val="24"/>
        </w:rPr>
        <w:t xml:space="preserve">is </w:t>
      </w:r>
      <w:r w:rsidR="00D20A7C" w:rsidRPr="007756A8">
        <w:rPr>
          <w:rFonts w:ascii="Times New Roman" w:hAnsi="Times New Roman" w:cs="Times New Roman"/>
          <w:b/>
          <w:sz w:val="24"/>
          <w:szCs w:val="24"/>
        </w:rPr>
        <w:t>NOT</w:t>
      </w:r>
      <w:r w:rsidRPr="007756A8">
        <w:rPr>
          <w:rFonts w:ascii="Times New Roman" w:hAnsi="Times New Roman" w:cs="Times New Roman"/>
          <w:sz w:val="24"/>
          <w:szCs w:val="24"/>
        </w:rPr>
        <w:t xml:space="preserve"> allowed under this Call for Proposals</w:t>
      </w:r>
      <w:r w:rsidR="007E3F14">
        <w:rPr>
          <w:rFonts w:ascii="Times New Roman" w:hAnsi="Times New Roman" w:cs="Times New Roman"/>
          <w:sz w:val="24"/>
          <w:szCs w:val="24"/>
        </w:rPr>
        <w:t xml:space="preserve"> and Concepts</w:t>
      </w:r>
      <w:r w:rsidR="00740759">
        <w:rPr>
          <w:rFonts w:ascii="Times New Roman" w:hAnsi="Times New Roman" w:cs="Times New Roman"/>
          <w:sz w:val="24"/>
          <w:szCs w:val="24"/>
        </w:rPr>
        <w:t>.</w:t>
      </w:r>
    </w:p>
    <w:p w14:paraId="2BC02CF8" w14:textId="77777777" w:rsidR="00623038" w:rsidRPr="007756A8" w:rsidRDefault="00623038" w:rsidP="00623038">
      <w:pPr>
        <w:rPr>
          <w:rFonts w:ascii="Times New Roman" w:hAnsi="Times New Roman" w:cs="Times New Roman"/>
          <w:b/>
          <w:sz w:val="24"/>
          <w:szCs w:val="24"/>
          <w:u w:val="single"/>
        </w:rPr>
      </w:pPr>
      <w:r w:rsidRPr="00307D27">
        <w:rPr>
          <w:rFonts w:ascii="Times New Roman" w:hAnsi="Times New Roman" w:cs="Times New Roman"/>
          <w:b/>
          <w:sz w:val="24"/>
          <w:szCs w:val="24"/>
          <w:u w:val="single"/>
          <w:shd w:val="clear" w:color="auto" w:fill="BFBFBF" w:themeFill="background1" w:themeFillShade="BF"/>
        </w:rPr>
        <w:t>Visibility</w:t>
      </w:r>
    </w:p>
    <w:p w14:paraId="0689EFE7" w14:textId="753223CA"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sz w:val="24"/>
          <w:szCs w:val="24"/>
        </w:rPr>
        <w:lastRenderedPageBreak/>
        <w:t>The Applicants must take all necessary steps to publici</w:t>
      </w:r>
      <w:r w:rsidR="00B10494">
        <w:rPr>
          <w:rFonts w:ascii="Times New Roman" w:hAnsi="Times New Roman" w:cs="Times New Roman"/>
          <w:sz w:val="24"/>
          <w:szCs w:val="24"/>
        </w:rPr>
        <w:t>z</w:t>
      </w:r>
      <w:r w:rsidRPr="007756A8">
        <w:rPr>
          <w:rFonts w:ascii="Times New Roman" w:hAnsi="Times New Roman" w:cs="Times New Roman"/>
          <w:sz w:val="24"/>
          <w:szCs w:val="24"/>
        </w:rPr>
        <w:t xml:space="preserve">e the fact that </w:t>
      </w:r>
      <w:r w:rsidR="00EF4A67" w:rsidRPr="007756A8">
        <w:rPr>
          <w:rFonts w:ascii="Times New Roman" w:hAnsi="Times New Roman" w:cs="Times New Roman"/>
          <w:sz w:val="24"/>
          <w:szCs w:val="24"/>
        </w:rPr>
        <w:t xml:space="preserve">the European Union </w:t>
      </w:r>
      <w:r w:rsidR="00EF4A67">
        <w:rPr>
          <w:rFonts w:ascii="Times New Roman" w:hAnsi="Times New Roman" w:cs="Times New Roman"/>
          <w:sz w:val="24"/>
          <w:szCs w:val="24"/>
        </w:rPr>
        <w:t xml:space="preserve">and </w:t>
      </w:r>
      <w:r w:rsidRPr="007756A8">
        <w:rPr>
          <w:rFonts w:ascii="Times New Roman" w:hAnsi="Times New Roman" w:cs="Times New Roman"/>
          <w:sz w:val="24"/>
          <w:szCs w:val="24"/>
        </w:rPr>
        <w:t>RISE Life Management Services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74C5212B" w14:textId="0251213F" w:rsidR="00623038" w:rsidRPr="007756A8" w:rsidRDefault="00623038" w:rsidP="00623038">
      <w:pPr>
        <w:tabs>
          <w:tab w:val="left" w:pos="426"/>
        </w:tabs>
        <w:spacing w:before="120"/>
        <w:rPr>
          <w:rFonts w:ascii="Times New Roman" w:hAnsi="Times New Roman" w:cs="Times New Roman"/>
          <w:b/>
          <w:sz w:val="24"/>
          <w:szCs w:val="24"/>
        </w:rPr>
      </w:pPr>
      <w:r w:rsidRPr="00CE3F14">
        <w:rPr>
          <w:rFonts w:ascii="Times New Roman" w:hAnsi="Times New Roman" w:cs="Times New Roman"/>
          <w:b/>
          <w:sz w:val="24"/>
          <w:szCs w:val="24"/>
          <w:shd w:val="clear" w:color="auto" w:fill="BFBFBF" w:themeFill="background1" w:themeFillShade="BF"/>
        </w:rPr>
        <w:t>Deadline for Submission of Applications</w:t>
      </w:r>
      <w:r w:rsidRPr="007756A8">
        <w:rPr>
          <w:rFonts w:ascii="Times New Roman" w:hAnsi="Times New Roman" w:cs="Times New Roman"/>
          <w:b/>
          <w:sz w:val="24"/>
          <w:szCs w:val="24"/>
        </w:rPr>
        <w:br/>
      </w:r>
      <w:r w:rsidRPr="007756A8">
        <w:rPr>
          <w:rFonts w:ascii="Times New Roman" w:hAnsi="Times New Roman" w:cs="Times New Roman"/>
          <w:sz w:val="24"/>
          <w:szCs w:val="24"/>
        </w:rPr>
        <w:t>The deadline for the submission of applications is</w:t>
      </w:r>
      <w:r w:rsidRPr="007756A8">
        <w:rPr>
          <w:rFonts w:ascii="Times New Roman" w:hAnsi="Times New Roman" w:cs="Times New Roman"/>
          <w:b/>
          <w:sz w:val="24"/>
          <w:szCs w:val="24"/>
        </w:rPr>
        <w:t xml:space="preserve"> </w:t>
      </w:r>
      <w:r w:rsidR="009402B1">
        <w:rPr>
          <w:rFonts w:ascii="Times New Roman" w:hAnsi="Times New Roman" w:cs="Times New Roman"/>
          <w:b/>
          <w:sz w:val="24"/>
          <w:szCs w:val="24"/>
        </w:rPr>
        <w:t xml:space="preserve">May </w:t>
      </w:r>
      <w:r w:rsidR="008A4F95">
        <w:rPr>
          <w:rFonts w:ascii="Times New Roman" w:hAnsi="Times New Roman" w:cs="Times New Roman"/>
          <w:b/>
          <w:sz w:val="24"/>
          <w:szCs w:val="24"/>
        </w:rPr>
        <w:t>24</w:t>
      </w:r>
      <w:r w:rsidRPr="007756A8">
        <w:rPr>
          <w:rFonts w:ascii="Times New Roman" w:hAnsi="Times New Roman" w:cs="Times New Roman"/>
          <w:b/>
          <w:sz w:val="24"/>
          <w:szCs w:val="24"/>
        </w:rPr>
        <w:t>, 20</w:t>
      </w:r>
      <w:r w:rsidR="008A2600" w:rsidRPr="007756A8">
        <w:rPr>
          <w:rFonts w:ascii="Times New Roman" w:hAnsi="Times New Roman" w:cs="Times New Roman"/>
          <w:b/>
          <w:sz w:val="24"/>
          <w:szCs w:val="24"/>
        </w:rPr>
        <w:t>2</w:t>
      </w:r>
      <w:r w:rsidR="009402B1">
        <w:rPr>
          <w:rFonts w:ascii="Times New Roman" w:hAnsi="Times New Roman" w:cs="Times New Roman"/>
          <w:b/>
          <w:sz w:val="24"/>
          <w:szCs w:val="24"/>
        </w:rPr>
        <w:t>4</w:t>
      </w:r>
      <w:r w:rsidRPr="007756A8">
        <w:rPr>
          <w:rFonts w:ascii="Times New Roman" w:hAnsi="Times New Roman" w:cs="Times New Roman"/>
          <w:b/>
          <w:sz w:val="24"/>
          <w:szCs w:val="24"/>
        </w:rPr>
        <w:t xml:space="preserve">, </w:t>
      </w:r>
      <w:r w:rsidRPr="007756A8">
        <w:rPr>
          <w:rFonts w:ascii="Times New Roman" w:hAnsi="Times New Roman" w:cs="Times New Roman"/>
          <w:sz w:val="24"/>
          <w:szCs w:val="24"/>
        </w:rPr>
        <w:t>at 4:</w:t>
      </w:r>
      <w:r w:rsidR="0058032B" w:rsidRPr="007756A8">
        <w:rPr>
          <w:rFonts w:ascii="Times New Roman" w:hAnsi="Times New Roman" w:cs="Times New Roman"/>
          <w:sz w:val="24"/>
          <w:szCs w:val="24"/>
        </w:rPr>
        <w:t>3</w:t>
      </w:r>
      <w:r w:rsidRPr="007756A8">
        <w:rPr>
          <w:rFonts w:ascii="Times New Roman" w:hAnsi="Times New Roman" w:cs="Times New Roman"/>
          <w:sz w:val="24"/>
          <w:szCs w:val="24"/>
        </w:rPr>
        <w:t>0 p.m.</w:t>
      </w:r>
      <w:r w:rsidRPr="007756A8">
        <w:rPr>
          <w:rFonts w:ascii="Times New Roman" w:hAnsi="Times New Roman" w:cs="Times New Roman"/>
          <w:b/>
          <w:sz w:val="24"/>
          <w:szCs w:val="24"/>
        </w:rPr>
        <w:t xml:space="preserve"> </w:t>
      </w:r>
      <w:r w:rsidR="00740759">
        <w:rPr>
          <w:rFonts w:ascii="Times New Roman" w:hAnsi="Times New Roman" w:cs="Times New Roman"/>
          <w:sz w:val="24"/>
          <w:szCs w:val="24"/>
        </w:rPr>
        <w:t>A</w:t>
      </w:r>
      <w:r w:rsidRPr="007756A8">
        <w:rPr>
          <w:rFonts w:ascii="Times New Roman" w:hAnsi="Times New Roman" w:cs="Times New Roman"/>
          <w:sz w:val="24"/>
          <w:szCs w:val="24"/>
        </w:rPr>
        <w:t>pplication</w:t>
      </w:r>
      <w:r w:rsidR="00740759">
        <w:rPr>
          <w:rFonts w:ascii="Times New Roman" w:hAnsi="Times New Roman" w:cs="Times New Roman"/>
          <w:sz w:val="24"/>
          <w:szCs w:val="24"/>
        </w:rPr>
        <w:t>s</w:t>
      </w:r>
      <w:r w:rsidRPr="007756A8">
        <w:rPr>
          <w:rFonts w:ascii="Times New Roman" w:hAnsi="Times New Roman" w:cs="Times New Roman"/>
          <w:sz w:val="24"/>
          <w:szCs w:val="24"/>
        </w:rPr>
        <w:t xml:space="preserve"> submitted after the deadline will </w:t>
      </w:r>
      <w:r w:rsidR="009402B1" w:rsidRPr="009402B1">
        <w:rPr>
          <w:rFonts w:ascii="Times New Roman" w:hAnsi="Times New Roman" w:cs="Times New Roman"/>
          <w:b/>
          <w:bCs/>
          <w:sz w:val="24"/>
          <w:szCs w:val="24"/>
        </w:rPr>
        <w:t>NOT</w:t>
      </w:r>
      <w:r w:rsidR="009402B1">
        <w:rPr>
          <w:rFonts w:ascii="Times New Roman" w:hAnsi="Times New Roman" w:cs="Times New Roman"/>
          <w:sz w:val="24"/>
          <w:szCs w:val="24"/>
        </w:rPr>
        <w:t xml:space="preserve"> </w:t>
      </w:r>
      <w:r w:rsidRPr="007756A8">
        <w:rPr>
          <w:rFonts w:ascii="Times New Roman" w:hAnsi="Times New Roman" w:cs="Times New Roman"/>
          <w:sz w:val="24"/>
          <w:szCs w:val="24"/>
        </w:rPr>
        <w:t xml:space="preserve">be </w:t>
      </w:r>
      <w:r w:rsidR="009402B1">
        <w:rPr>
          <w:rFonts w:ascii="Times New Roman" w:hAnsi="Times New Roman" w:cs="Times New Roman"/>
          <w:sz w:val="24"/>
          <w:szCs w:val="24"/>
        </w:rPr>
        <w:t>evaluated</w:t>
      </w:r>
      <w:r w:rsidR="00740759">
        <w:rPr>
          <w:rFonts w:ascii="Times New Roman" w:hAnsi="Times New Roman" w:cs="Times New Roman"/>
          <w:sz w:val="24"/>
          <w:szCs w:val="24"/>
        </w:rPr>
        <w:t>.</w:t>
      </w:r>
    </w:p>
    <w:p w14:paraId="7F647172" w14:textId="60123E02" w:rsidR="00AD23CA" w:rsidRPr="007756A8" w:rsidRDefault="00623038" w:rsidP="00AD23CA">
      <w:pPr>
        <w:tabs>
          <w:tab w:val="left" w:pos="426"/>
        </w:tabs>
        <w:spacing w:before="120"/>
        <w:rPr>
          <w:rFonts w:ascii="Times New Roman" w:hAnsi="Times New Roman" w:cs="Times New Roman"/>
          <w:sz w:val="24"/>
          <w:szCs w:val="24"/>
        </w:rPr>
      </w:pPr>
      <w:r w:rsidRPr="008E3750">
        <w:rPr>
          <w:rFonts w:ascii="Times New Roman" w:hAnsi="Times New Roman" w:cs="Times New Roman"/>
          <w:b/>
          <w:sz w:val="24"/>
          <w:szCs w:val="24"/>
          <w:shd w:val="clear" w:color="auto" w:fill="BFBFBF" w:themeFill="background1" w:themeFillShade="BF"/>
        </w:rPr>
        <w:t>Further information about Applications</w:t>
      </w:r>
      <w:r w:rsidRPr="007756A8">
        <w:rPr>
          <w:rFonts w:ascii="Times New Roman" w:hAnsi="Times New Roman" w:cs="Times New Roman"/>
          <w:sz w:val="24"/>
          <w:szCs w:val="24"/>
        </w:rPr>
        <w:br/>
        <w:t xml:space="preserve">An </w:t>
      </w:r>
      <w:r w:rsidRPr="007756A8">
        <w:rPr>
          <w:rFonts w:ascii="Times New Roman" w:hAnsi="Times New Roman" w:cs="Times New Roman"/>
          <w:b/>
          <w:sz w:val="24"/>
          <w:szCs w:val="24"/>
        </w:rPr>
        <w:t>Information Session</w:t>
      </w:r>
      <w:r w:rsidRPr="007756A8">
        <w:rPr>
          <w:rFonts w:ascii="Times New Roman" w:hAnsi="Times New Roman" w:cs="Times New Roman"/>
          <w:sz w:val="24"/>
          <w:szCs w:val="24"/>
        </w:rPr>
        <w:t xml:space="preserve"> on this Call for Proposals will be held on </w:t>
      </w:r>
      <w:r w:rsidR="00E7513B">
        <w:rPr>
          <w:rFonts w:ascii="Times New Roman" w:hAnsi="Times New Roman" w:cs="Times New Roman"/>
          <w:b/>
          <w:bCs/>
          <w:sz w:val="24"/>
          <w:szCs w:val="24"/>
        </w:rPr>
        <w:t>April</w:t>
      </w:r>
      <w:r w:rsidRPr="00B10494">
        <w:rPr>
          <w:rFonts w:ascii="Times New Roman" w:hAnsi="Times New Roman" w:cs="Times New Roman"/>
          <w:b/>
          <w:bCs/>
          <w:sz w:val="24"/>
          <w:szCs w:val="24"/>
        </w:rPr>
        <w:t xml:space="preserve"> </w:t>
      </w:r>
      <w:r w:rsidR="008A4F95">
        <w:rPr>
          <w:rFonts w:ascii="Times New Roman" w:hAnsi="Times New Roman" w:cs="Times New Roman"/>
          <w:b/>
          <w:bCs/>
          <w:sz w:val="24"/>
          <w:szCs w:val="24"/>
        </w:rPr>
        <w:t>18</w:t>
      </w:r>
      <w:r w:rsidR="00E7513B">
        <w:rPr>
          <w:rFonts w:ascii="Times New Roman" w:hAnsi="Times New Roman" w:cs="Times New Roman"/>
          <w:b/>
          <w:bCs/>
          <w:sz w:val="24"/>
          <w:szCs w:val="24"/>
        </w:rPr>
        <w:t xml:space="preserve">, 2024 </w:t>
      </w:r>
      <w:r w:rsidRPr="007756A8">
        <w:rPr>
          <w:rFonts w:ascii="Times New Roman" w:hAnsi="Times New Roman" w:cs="Times New Roman"/>
          <w:sz w:val="24"/>
          <w:szCs w:val="24"/>
        </w:rPr>
        <w:t>at 10:</w:t>
      </w:r>
      <w:r w:rsidR="008A2600" w:rsidRPr="007756A8">
        <w:rPr>
          <w:rFonts w:ascii="Times New Roman" w:hAnsi="Times New Roman" w:cs="Times New Roman"/>
          <w:sz w:val="24"/>
          <w:szCs w:val="24"/>
        </w:rPr>
        <w:t>3</w:t>
      </w:r>
      <w:r w:rsidRPr="007756A8">
        <w:rPr>
          <w:rFonts w:ascii="Times New Roman" w:hAnsi="Times New Roman" w:cs="Times New Roman"/>
          <w:sz w:val="24"/>
          <w:szCs w:val="24"/>
        </w:rPr>
        <w:t xml:space="preserve">0 a.m. </w:t>
      </w:r>
      <w:r w:rsidR="00E65ADA" w:rsidRPr="007756A8">
        <w:rPr>
          <w:rFonts w:ascii="Times New Roman" w:hAnsi="Times New Roman" w:cs="Times New Roman"/>
          <w:sz w:val="24"/>
          <w:szCs w:val="24"/>
        </w:rPr>
        <w:t>– 1</w:t>
      </w:r>
      <w:r w:rsidR="008A2600" w:rsidRPr="007756A8">
        <w:rPr>
          <w:rFonts w:ascii="Times New Roman" w:hAnsi="Times New Roman" w:cs="Times New Roman"/>
          <w:sz w:val="24"/>
          <w:szCs w:val="24"/>
        </w:rPr>
        <w:t>2</w:t>
      </w:r>
      <w:r w:rsidR="00E65ADA" w:rsidRPr="007756A8">
        <w:rPr>
          <w:rFonts w:ascii="Times New Roman" w:hAnsi="Times New Roman" w:cs="Times New Roman"/>
          <w:sz w:val="24"/>
          <w:szCs w:val="24"/>
        </w:rPr>
        <w:t>:</w:t>
      </w:r>
      <w:r w:rsidR="00337EE6">
        <w:rPr>
          <w:rFonts w:ascii="Times New Roman" w:hAnsi="Times New Roman" w:cs="Times New Roman"/>
          <w:sz w:val="24"/>
          <w:szCs w:val="24"/>
        </w:rPr>
        <w:t>0</w:t>
      </w:r>
      <w:r w:rsidR="00E65ADA" w:rsidRPr="007756A8">
        <w:rPr>
          <w:rFonts w:ascii="Times New Roman" w:hAnsi="Times New Roman" w:cs="Times New Roman"/>
          <w:sz w:val="24"/>
          <w:szCs w:val="24"/>
        </w:rPr>
        <w:t xml:space="preserve">0 </w:t>
      </w:r>
      <w:r w:rsidR="00EF4A67">
        <w:rPr>
          <w:rFonts w:ascii="Times New Roman" w:hAnsi="Times New Roman" w:cs="Times New Roman"/>
          <w:sz w:val="24"/>
          <w:szCs w:val="24"/>
        </w:rPr>
        <w:t>p</w:t>
      </w:r>
      <w:r w:rsidR="00E65ADA" w:rsidRPr="007756A8">
        <w:rPr>
          <w:rFonts w:ascii="Times New Roman" w:hAnsi="Times New Roman" w:cs="Times New Roman"/>
          <w:sz w:val="24"/>
          <w:szCs w:val="24"/>
        </w:rPr>
        <w:t xml:space="preserve">.m. </w:t>
      </w:r>
      <w:r w:rsidR="00337EE6">
        <w:rPr>
          <w:rFonts w:ascii="Times New Roman" w:hAnsi="Times New Roman" w:cs="Times New Roman"/>
          <w:sz w:val="24"/>
          <w:szCs w:val="24"/>
        </w:rPr>
        <w:t xml:space="preserve">Jamaican </w:t>
      </w:r>
      <w:r w:rsidRPr="007756A8">
        <w:rPr>
          <w:rFonts w:ascii="Times New Roman" w:hAnsi="Times New Roman" w:cs="Times New Roman"/>
          <w:sz w:val="24"/>
          <w:szCs w:val="24"/>
        </w:rPr>
        <w:t xml:space="preserve">time </w:t>
      </w:r>
      <w:r w:rsidR="00337EE6">
        <w:rPr>
          <w:rFonts w:ascii="Times New Roman" w:hAnsi="Times New Roman" w:cs="Times New Roman"/>
          <w:sz w:val="24"/>
          <w:szCs w:val="24"/>
        </w:rPr>
        <w:t xml:space="preserve">and will be held </w:t>
      </w:r>
      <w:r w:rsidR="008A2600" w:rsidRPr="007756A8">
        <w:rPr>
          <w:rFonts w:ascii="Times New Roman" w:hAnsi="Times New Roman" w:cs="Times New Roman"/>
          <w:sz w:val="24"/>
          <w:szCs w:val="24"/>
        </w:rPr>
        <w:t xml:space="preserve">via </w:t>
      </w:r>
      <w:r w:rsidR="00337EE6">
        <w:rPr>
          <w:rFonts w:ascii="Times New Roman" w:hAnsi="Times New Roman" w:cs="Times New Roman"/>
          <w:sz w:val="24"/>
          <w:szCs w:val="24"/>
        </w:rPr>
        <w:t xml:space="preserve">the </w:t>
      </w:r>
      <w:r w:rsidR="008A2600" w:rsidRPr="007756A8">
        <w:rPr>
          <w:rFonts w:ascii="Times New Roman" w:hAnsi="Times New Roman" w:cs="Times New Roman"/>
          <w:sz w:val="24"/>
          <w:szCs w:val="24"/>
        </w:rPr>
        <w:t>Zoom</w:t>
      </w:r>
      <w:r w:rsidR="00337EE6">
        <w:rPr>
          <w:rFonts w:ascii="Times New Roman" w:hAnsi="Times New Roman" w:cs="Times New Roman"/>
          <w:sz w:val="24"/>
          <w:szCs w:val="24"/>
        </w:rPr>
        <w:t xml:space="preserve"> platform</w:t>
      </w:r>
      <w:r w:rsidR="008A2600" w:rsidRPr="007756A8">
        <w:rPr>
          <w:rFonts w:ascii="Times New Roman" w:hAnsi="Times New Roman" w:cs="Times New Roman"/>
          <w:sz w:val="24"/>
          <w:szCs w:val="24"/>
        </w:rPr>
        <w:t xml:space="preserve">. </w:t>
      </w:r>
      <w:r w:rsidR="00AD23CA" w:rsidRPr="007756A8">
        <w:rPr>
          <w:rFonts w:ascii="Times New Roman" w:hAnsi="Times New Roman" w:cs="Times New Roman"/>
          <w:sz w:val="24"/>
          <w:szCs w:val="24"/>
        </w:rPr>
        <w:t xml:space="preserve">Please confirm your attendance to this session by sending </w:t>
      </w:r>
      <w:r w:rsidR="00337EE6">
        <w:rPr>
          <w:rFonts w:ascii="Times New Roman" w:hAnsi="Times New Roman" w:cs="Times New Roman"/>
          <w:sz w:val="24"/>
          <w:szCs w:val="24"/>
        </w:rPr>
        <w:t xml:space="preserve">an </w:t>
      </w:r>
      <w:r w:rsidR="00AD23CA" w:rsidRPr="007756A8">
        <w:rPr>
          <w:rFonts w:ascii="Times New Roman" w:hAnsi="Times New Roman" w:cs="Times New Roman"/>
          <w:sz w:val="24"/>
          <w:szCs w:val="24"/>
        </w:rPr>
        <w:t xml:space="preserve">email to </w:t>
      </w:r>
      <w:hyperlink r:id="rId10" w:history="1">
        <w:r w:rsidR="00337EE6" w:rsidRPr="00E25307">
          <w:rPr>
            <w:rStyle w:val="Hyperlink"/>
          </w:rPr>
          <w:t>info@risejamaica.org</w:t>
        </w:r>
      </w:hyperlink>
      <w:r w:rsidR="00337EE6">
        <w:t xml:space="preserve"> </w:t>
      </w:r>
      <w:r w:rsidR="00AD23CA" w:rsidRPr="007756A8">
        <w:rPr>
          <w:rFonts w:ascii="Times New Roman" w:hAnsi="Times New Roman" w:cs="Times New Roman"/>
          <w:sz w:val="24"/>
          <w:szCs w:val="24"/>
        </w:rPr>
        <w:t xml:space="preserve">A confirmation message containing meeting information </w:t>
      </w:r>
      <w:r w:rsidR="00337EE6">
        <w:rPr>
          <w:rFonts w:ascii="Times New Roman" w:hAnsi="Times New Roman" w:cs="Times New Roman"/>
          <w:sz w:val="24"/>
          <w:szCs w:val="24"/>
        </w:rPr>
        <w:t xml:space="preserve">and link </w:t>
      </w:r>
      <w:r w:rsidR="00AD23CA" w:rsidRPr="007756A8">
        <w:rPr>
          <w:rFonts w:ascii="Times New Roman" w:hAnsi="Times New Roman" w:cs="Times New Roman"/>
          <w:sz w:val="24"/>
          <w:szCs w:val="24"/>
        </w:rPr>
        <w:t>will be sent to you</w:t>
      </w:r>
      <w:r w:rsidR="00337EE6">
        <w:rPr>
          <w:rFonts w:ascii="Times New Roman" w:hAnsi="Times New Roman" w:cs="Times New Roman"/>
          <w:sz w:val="24"/>
          <w:szCs w:val="24"/>
        </w:rPr>
        <w:t xml:space="preserve"> ahead of the information session</w:t>
      </w:r>
      <w:r w:rsidR="00AD23CA" w:rsidRPr="007756A8">
        <w:rPr>
          <w:rFonts w:ascii="Times New Roman" w:hAnsi="Times New Roman" w:cs="Times New Roman"/>
          <w:sz w:val="24"/>
          <w:szCs w:val="24"/>
        </w:rPr>
        <w:t>.</w:t>
      </w:r>
      <w:r w:rsidRPr="007756A8">
        <w:rPr>
          <w:rFonts w:ascii="Times New Roman" w:hAnsi="Times New Roman" w:cs="Times New Roman"/>
          <w:sz w:val="24"/>
          <w:szCs w:val="24"/>
        </w:rPr>
        <w:br/>
        <w:t xml:space="preserve">Questions </w:t>
      </w:r>
      <w:r w:rsidR="009C254E">
        <w:rPr>
          <w:rFonts w:ascii="Times New Roman" w:hAnsi="Times New Roman" w:cs="Times New Roman"/>
          <w:sz w:val="24"/>
          <w:szCs w:val="24"/>
        </w:rPr>
        <w:t>via email bearing the subject</w:t>
      </w:r>
      <w:r w:rsidR="009C254E" w:rsidRPr="007756A8">
        <w:rPr>
          <w:rFonts w:ascii="Times New Roman" w:hAnsi="Times New Roman" w:cs="Times New Roman"/>
          <w:b/>
          <w:sz w:val="24"/>
          <w:szCs w:val="24"/>
        </w:rPr>
        <w:t xml:space="preserve">: </w:t>
      </w:r>
      <w:r w:rsidR="009C254E">
        <w:rPr>
          <w:rFonts w:ascii="Times New Roman" w:hAnsi="Times New Roman" w:cs="Times New Roman"/>
          <w:b/>
          <w:sz w:val="24"/>
          <w:szCs w:val="24"/>
        </w:rPr>
        <w:t>CSBI3</w:t>
      </w:r>
      <w:r w:rsidR="00316B9D">
        <w:rPr>
          <w:rFonts w:ascii="Times New Roman" w:hAnsi="Times New Roman" w:cs="Times New Roman"/>
          <w:b/>
          <w:sz w:val="24"/>
          <w:szCs w:val="24"/>
        </w:rPr>
        <w:t>/2024</w:t>
      </w:r>
      <w:r w:rsidR="009C254E" w:rsidRPr="007756A8">
        <w:rPr>
          <w:rFonts w:ascii="Times New Roman" w:hAnsi="Times New Roman" w:cs="Times New Roman"/>
          <w:b/>
          <w:sz w:val="24"/>
          <w:szCs w:val="24"/>
        </w:rPr>
        <w:t xml:space="preserve"> – CALL FOR PROPOSALS</w:t>
      </w:r>
      <w:r w:rsidR="009C254E" w:rsidRPr="007756A8">
        <w:rPr>
          <w:rFonts w:ascii="Times New Roman" w:hAnsi="Times New Roman" w:cs="Times New Roman"/>
          <w:sz w:val="24"/>
          <w:szCs w:val="24"/>
        </w:rPr>
        <w:t xml:space="preserve"> </w:t>
      </w:r>
      <w:r w:rsidR="00316B9D" w:rsidRPr="00316B9D">
        <w:rPr>
          <w:rFonts w:ascii="Times New Roman" w:hAnsi="Times New Roman" w:cs="Times New Roman"/>
          <w:b/>
          <w:bCs/>
          <w:sz w:val="24"/>
          <w:szCs w:val="24"/>
        </w:rPr>
        <w:t>&amp; CONCEPTS</w:t>
      </w:r>
      <w:r w:rsidR="00316B9D">
        <w:rPr>
          <w:rFonts w:ascii="Times New Roman" w:hAnsi="Times New Roman" w:cs="Times New Roman"/>
          <w:sz w:val="24"/>
          <w:szCs w:val="24"/>
        </w:rPr>
        <w:t xml:space="preserve"> </w:t>
      </w:r>
      <w:r w:rsidRPr="007756A8">
        <w:rPr>
          <w:rFonts w:ascii="Times New Roman" w:hAnsi="Times New Roman" w:cs="Times New Roman"/>
          <w:sz w:val="24"/>
          <w:szCs w:val="24"/>
        </w:rPr>
        <w:t>may</w:t>
      </w:r>
      <w:r w:rsidR="00316B9D">
        <w:rPr>
          <w:rFonts w:ascii="Times New Roman" w:hAnsi="Times New Roman" w:cs="Times New Roman"/>
          <w:sz w:val="24"/>
          <w:szCs w:val="24"/>
        </w:rPr>
        <w:t xml:space="preserve"> </w:t>
      </w:r>
      <w:r w:rsidRPr="007756A8">
        <w:rPr>
          <w:rFonts w:ascii="Times New Roman" w:hAnsi="Times New Roman" w:cs="Times New Roman"/>
          <w:sz w:val="24"/>
          <w:szCs w:val="24"/>
        </w:rPr>
        <w:t xml:space="preserve">be sent no later than 14 days </w:t>
      </w:r>
      <w:r w:rsidR="003C09E3">
        <w:rPr>
          <w:rFonts w:ascii="Times New Roman" w:hAnsi="Times New Roman" w:cs="Times New Roman"/>
          <w:sz w:val="24"/>
          <w:szCs w:val="24"/>
        </w:rPr>
        <w:t>(</w:t>
      </w:r>
      <w:r w:rsidR="008A4F95">
        <w:rPr>
          <w:rFonts w:ascii="Times New Roman" w:hAnsi="Times New Roman" w:cs="Times New Roman"/>
          <w:sz w:val="24"/>
          <w:szCs w:val="24"/>
        </w:rPr>
        <w:t>May 10</w:t>
      </w:r>
      <w:r w:rsidR="003C09E3">
        <w:rPr>
          <w:rFonts w:ascii="Times New Roman" w:hAnsi="Times New Roman" w:cs="Times New Roman"/>
          <w:sz w:val="24"/>
          <w:szCs w:val="24"/>
        </w:rPr>
        <w:t xml:space="preserve">, 2024) </w:t>
      </w:r>
      <w:r w:rsidRPr="007756A8">
        <w:rPr>
          <w:rFonts w:ascii="Times New Roman" w:hAnsi="Times New Roman" w:cs="Times New Roman"/>
          <w:sz w:val="24"/>
          <w:szCs w:val="24"/>
        </w:rPr>
        <w:t>before the deadline</w:t>
      </w:r>
      <w:r w:rsidR="003C09E3">
        <w:rPr>
          <w:rFonts w:ascii="Times New Roman" w:hAnsi="Times New Roman" w:cs="Times New Roman"/>
          <w:sz w:val="24"/>
          <w:szCs w:val="24"/>
        </w:rPr>
        <w:t xml:space="preserve"> </w:t>
      </w:r>
      <w:r w:rsidRPr="007756A8">
        <w:rPr>
          <w:rFonts w:ascii="Times New Roman" w:hAnsi="Times New Roman" w:cs="Times New Roman"/>
          <w:sz w:val="24"/>
          <w:szCs w:val="24"/>
        </w:rPr>
        <w:t xml:space="preserve">for submission of applications to the </w:t>
      </w:r>
      <w:r w:rsidR="00B10494">
        <w:rPr>
          <w:rFonts w:ascii="Times New Roman" w:hAnsi="Times New Roman" w:cs="Times New Roman"/>
          <w:sz w:val="24"/>
          <w:szCs w:val="24"/>
        </w:rPr>
        <w:t xml:space="preserve">following email </w:t>
      </w:r>
      <w:r w:rsidRPr="007756A8">
        <w:rPr>
          <w:rFonts w:ascii="Times New Roman" w:hAnsi="Times New Roman" w:cs="Times New Roman"/>
          <w:sz w:val="24"/>
          <w:szCs w:val="24"/>
        </w:rPr>
        <w:t>address</w:t>
      </w:r>
      <w:r w:rsidR="00B10494">
        <w:rPr>
          <w:rFonts w:ascii="Times New Roman" w:hAnsi="Times New Roman" w:cs="Times New Roman"/>
          <w:sz w:val="24"/>
          <w:szCs w:val="24"/>
        </w:rPr>
        <w:t xml:space="preserve">: </w:t>
      </w:r>
      <w:hyperlink r:id="rId11" w:history="1">
        <w:r w:rsidR="003C09E3" w:rsidRPr="00E25307">
          <w:rPr>
            <w:rStyle w:val="Hyperlink"/>
          </w:rPr>
          <w:t>info@risejamaica.org</w:t>
        </w:r>
      </w:hyperlink>
      <w:r w:rsidR="00E65ADA" w:rsidRPr="007756A8">
        <w:rPr>
          <w:rFonts w:ascii="Times New Roman" w:hAnsi="Times New Roman" w:cs="Times New Roman"/>
          <w:sz w:val="24"/>
          <w:szCs w:val="24"/>
        </w:rPr>
        <w:t xml:space="preserve"> </w:t>
      </w:r>
      <w:r w:rsidR="0058032B" w:rsidRPr="007756A8">
        <w:rPr>
          <w:rFonts w:ascii="Times New Roman" w:hAnsi="Times New Roman" w:cs="Times New Roman"/>
          <w:sz w:val="24"/>
          <w:szCs w:val="24"/>
        </w:rPr>
        <w:br/>
      </w:r>
      <w:r w:rsidR="00B10494">
        <w:rPr>
          <w:rFonts w:ascii="Times New Roman" w:hAnsi="Times New Roman" w:cs="Times New Roman"/>
          <w:b/>
          <w:sz w:val="24"/>
          <w:szCs w:val="24"/>
        </w:rPr>
        <w:br/>
      </w:r>
      <w:r w:rsidRPr="007756A8">
        <w:rPr>
          <w:rFonts w:ascii="Times New Roman" w:hAnsi="Times New Roman" w:cs="Times New Roman"/>
          <w:sz w:val="24"/>
          <w:szCs w:val="24"/>
        </w:rPr>
        <w:t xml:space="preserve">The Contracting Authority has no obligation to provide clarifications to questions received after this date. Replies will be given no later than </w:t>
      </w:r>
      <w:r w:rsidR="00FF5217">
        <w:rPr>
          <w:rFonts w:ascii="Times New Roman" w:hAnsi="Times New Roman" w:cs="Times New Roman"/>
          <w:sz w:val="24"/>
          <w:szCs w:val="24"/>
        </w:rPr>
        <w:t>7</w:t>
      </w:r>
      <w:r w:rsidR="00FF5217" w:rsidRPr="007756A8">
        <w:rPr>
          <w:rFonts w:ascii="Times New Roman" w:hAnsi="Times New Roman" w:cs="Times New Roman"/>
          <w:sz w:val="24"/>
          <w:szCs w:val="24"/>
        </w:rPr>
        <w:t xml:space="preserve"> </w:t>
      </w:r>
      <w:r w:rsidRPr="007756A8">
        <w:rPr>
          <w:rFonts w:ascii="Times New Roman" w:hAnsi="Times New Roman" w:cs="Times New Roman"/>
          <w:sz w:val="24"/>
          <w:szCs w:val="24"/>
        </w:rPr>
        <w:t>days before the deadline for submission of applications.</w:t>
      </w:r>
      <w:r w:rsidR="00AD23CA" w:rsidRPr="007756A8">
        <w:rPr>
          <w:rFonts w:ascii="Times New Roman" w:hAnsi="Times New Roman" w:cs="Times New Roman"/>
          <w:sz w:val="24"/>
          <w:szCs w:val="24"/>
        </w:rPr>
        <w:t xml:space="preserve"> All questions and answers will be published on the RISE Life Management Services website </w:t>
      </w:r>
      <w:hyperlink r:id="rId12" w:history="1">
        <w:r w:rsidR="00AD23CA" w:rsidRPr="007756A8">
          <w:rPr>
            <w:rStyle w:val="Hyperlink"/>
            <w:rFonts w:ascii="Times New Roman" w:hAnsi="Times New Roman" w:cs="Times New Roman"/>
            <w:sz w:val="24"/>
            <w:szCs w:val="24"/>
          </w:rPr>
          <w:t>http://www.risejamaica.org</w:t>
        </w:r>
      </w:hyperlink>
      <w:r w:rsidR="00AD23CA" w:rsidRPr="007756A8">
        <w:rPr>
          <w:rFonts w:ascii="Times New Roman" w:hAnsi="Times New Roman" w:cs="Times New Roman"/>
          <w:sz w:val="24"/>
          <w:szCs w:val="24"/>
        </w:rPr>
        <w:t xml:space="preserve"> . It is therefore advisable to consult the abovementioned website regularly in order to be informed of the questions and answers published. </w:t>
      </w:r>
    </w:p>
    <w:p w14:paraId="4F4DE52E" w14:textId="4AA784DA" w:rsidR="00623038" w:rsidRPr="007756A8" w:rsidRDefault="00623038" w:rsidP="00623038">
      <w:pPr>
        <w:tabs>
          <w:tab w:val="left" w:pos="426"/>
        </w:tabs>
        <w:spacing w:before="120"/>
        <w:rPr>
          <w:rFonts w:ascii="Times New Roman" w:hAnsi="Times New Roman" w:cs="Times New Roman"/>
          <w:sz w:val="24"/>
          <w:szCs w:val="24"/>
        </w:rPr>
      </w:pPr>
      <w:r w:rsidRPr="007756A8">
        <w:rPr>
          <w:rFonts w:ascii="Times New Roman" w:hAnsi="Times New Roman" w:cs="Times New Roman"/>
          <w:sz w:val="24"/>
          <w:szCs w:val="24"/>
        </w:rPr>
        <w:t>To ensure equal treatment of applicants, the Contracting Authority cannot give a prior opinion on the eligibility of applicants, an action, or specific activities.</w:t>
      </w:r>
    </w:p>
    <w:p w14:paraId="7F4336D5" w14:textId="77777777" w:rsidR="00623038" w:rsidRPr="007756A8" w:rsidRDefault="00623038" w:rsidP="008E3750">
      <w:pPr>
        <w:pStyle w:val="Guidelines3"/>
      </w:pPr>
      <w:bookmarkStart w:id="0" w:name="_Toc125454357"/>
      <w:bookmarkStart w:id="1" w:name="_Toc413161072"/>
      <w:r w:rsidRPr="007756A8">
        <w:t>Where and how to send Applicatio</w:t>
      </w:r>
      <w:bookmarkEnd w:id="0"/>
      <w:bookmarkEnd w:id="1"/>
      <w:r w:rsidRPr="007756A8">
        <w:t>ns</w:t>
      </w:r>
    </w:p>
    <w:p w14:paraId="7A55E6BC" w14:textId="626359BC" w:rsidR="00623038" w:rsidRPr="007756A8" w:rsidRDefault="00915F82" w:rsidP="00E56C4B">
      <w:pPr>
        <w:spacing w:before="240"/>
        <w:rPr>
          <w:rFonts w:ascii="Times New Roman" w:hAnsi="Times New Roman" w:cs="Times New Roman"/>
          <w:b/>
          <w:sz w:val="24"/>
          <w:szCs w:val="24"/>
        </w:rPr>
      </w:pPr>
      <w:r>
        <w:rPr>
          <w:rFonts w:ascii="Times New Roman" w:hAnsi="Times New Roman" w:cs="Times New Roman"/>
          <w:sz w:val="24"/>
          <w:szCs w:val="24"/>
        </w:rPr>
        <w:t>All relevant a</w:t>
      </w:r>
      <w:r w:rsidR="00200067">
        <w:rPr>
          <w:rFonts w:ascii="Times New Roman" w:hAnsi="Times New Roman" w:cs="Times New Roman"/>
          <w:sz w:val="24"/>
          <w:szCs w:val="24"/>
        </w:rPr>
        <w:t xml:space="preserve">pplication </w:t>
      </w:r>
      <w:r>
        <w:rPr>
          <w:rFonts w:ascii="Times New Roman" w:hAnsi="Times New Roman" w:cs="Times New Roman"/>
          <w:sz w:val="24"/>
          <w:szCs w:val="24"/>
        </w:rPr>
        <w:t>f</w:t>
      </w:r>
      <w:r w:rsidR="00200067">
        <w:rPr>
          <w:rFonts w:ascii="Times New Roman" w:hAnsi="Times New Roman" w:cs="Times New Roman"/>
          <w:sz w:val="24"/>
          <w:szCs w:val="24"/>
        </w:rPr>
        <w:t>orms: Full Proposal, Concept Note</w:t>
      </w:r>
      <w:r>
        <w:rPr>
          <w:rFonts w:ascii="Times New Roman" w:hAnsi="Times New Roman" w:cs="Times New Roman"/>
          <w:sz w:val="24"/>
          <w:szCs w:val="24"/>
        </w:rPr>
        <w:t xml:space="preserve"> and </w:t>
      </w:r>
      <w:r w:rsidR="00200067">
        <w:rPr>
          <w:rFonts w:ascii="Times New Roman" w:hAnsi="Times New Roman" w:cs="Times New Roman"/>
          <w:sz w:val="24"/>
          <w:szCs w:val="24"/>
        </w:rPr>
        <w:t>Budget can be found on the RISE website</w:t>
      </w:r>
      <w:r w:rsidR="00E20725">
        <w:rPr>
          <w:rFonts w:ascii="Times New Roman" w:hAnsi="Times New Roman" w:cs="Times New Roman"/>
          <w:sz w:val="24"/>
          <w:szCs w:val="24"/>
        </w:rPr>
        <w:t xml:space="preserve">: </w:t>
      </w:r>
      <w:hyperlink r:id="rId13" w:history="1">
        <w:r w:rsidR="00E20725" w:rsidRPr="00567AC1">
          <w:rPr>
            <w:rStyle w:val="Hyperlink"/>
            <w:rFonts w:ascii="Times New Roman" w:hAnsi="Times New Roman" w:cs="Times New Roman"/>
            <w:sz w:val="24"/>
            <w:szCs w:val="24"/>
          </w:rPr>
          <w:t>www.risejamaica.org</w:t>
        </w:r>
      </w:hyperlink>
      <w:r w:rsidR="00E20725">
        <w:rPr>
          <w:rFonts w:ascii="Times New Roman" w:hAnsi="Times New Roman" w:cs="Times New Roman"/>
          <w:sz w:val="24"/>
          <w:szCs w:val="24"/>
        </w:rPr>
        <w:t xml:space="preserve">. </w:t>
      </w:r>
      <w:r w:rsidR="003966A5">
        <w:rPr>
          <w:rFonts w:ascii="Times New Roman" w:hAnsi="Times New Roman" w:cs="Times New Roman"/>
          <w:sz w:val="24"/>
          <w:szCs w:val="24"/>
        </w:rPr>
        <w:t>Completed a</w:t>
      </w:r>
      <w:r w:rsidR="00623038" w:rsidRPr="007756A8">
        <w:rPr>
          <w:rFonts w:ascii="Times New Roman" w:hAnsi="Times New Roman" w:cs="Times New Roman"/>
          <w:sz w:val="24"/>
          <w:szCs w:val="24"/>
        </w:rPr>
        <w:t>pplication</w:t>
      </w:r>
      <w:r w:rsidR="003966A5">
        <w:rPr>
          <w:rFonts w:ascii="Times New Roman" w:hAnsi="Times New Roman" w:cs="Times New Roman"/>
          <w:sz w:val="24"/>
          <w:szCs w:val="24"/>
        </w:rPr>
        <w:t xml:space="preserve"> forms</w:t>
      </w:r>
      <w:r w:rsidR="00E56C4B" w:rsidRPr="007756A8">
        <w:rPr>
          <w:rFonts w:ascii="Times New Roman" w:hAnsi="Times New Roman" w:cs="Times New Roman"/>
          <w:sz w:val="24"/>
          <w:szCs w:val="24"/>
        </w:rPr>
        <w:t>,</w:t>
      </w:r>
      <w:r w:rsidR="00623038" w:rsidRPr="007756A8">
        <w:rPr>
          <w:rFonts w:ascii="Times New Roman" w:hAnsi="Times New Roman" w:cs="Times New Roman"/>
          <w:sz w:val="24"/>
          <w:szCs w:val="24"/>
        </w:rPr>
        <w:t xml:space="preserve"> as well as </w:t>
      </w:r>
      <w:r w:rsidR="003966A5">
        <w:rPr>
          <w:rFonts w:ascii="Times New Roman" w:hAnsi="Times New Roman" w:cs="Times New Roman"/>
          <w:sz w:val="24"/>
          <w:szCs w:val="24"/>
        </w:rPr>
        <w:t xml:space="preserve">completed </w:t>
      </w:r>
      <w:r w:rsidR="00623038" w:rsidRPr="007756A8">
        <w:rPr>
          <w:rFonts w:ascii="Times New Roman" w:hAnsi="Times New Roman" w:cs="Times New Roman"/>
          <w:sz w:val="24"/>
          <w:szCs w:val="24"/>
        </w:rPr>
        <w:t xml:space="preserve">budget must be submitted to the following </w:t>
      </w:r>
      <w:r w:rsidR="00E56C4B" w:rsidRPr="007756A8">
        <w:rPr>
          <w:rFonts w:ascii="Times New Roman" w:hAnsi="Times New Roman" w:cs="Times New Roman"/>
          <w:sz w:val="24"/>
          <w:szCs w:val="24"/>
        </w:rPr>
        <w:t xml:space="preserve">e-mail </w:t>
      </w:r>
      <w:r w:rsidR="00623038" w:rsidRPr="007756A8">
        <w:rPr>
          <w:rFonts w:ascii="Times New Roman" w:hAnsi="Times New Roman" w:cs="Times New Roman"/>
          <w:sz w:val="24"/>
          <w:szCs w:val="24"/>
        </w:rPr>
        <w:t xml:space="preserve">address: </w:t>
      </w:r>
      <w:hyperlink r:id="rId14" w:history="1">
        <w:r w:rsidR="00F12F85" w:rsidRPr="00E25307">
          <w:rPr>
            <w:rStyle w:val="Hyperlink"/>
          </w:rPr>
          <w:t>info@risejamaica.org</w:t>
        </w:r>
      </w:hyperlink>
      <w:r w:rsidR="00623038" w:rsidRPr="007756A8">
        <w:rPr>
          <w:rFonts w:ascii="Times New Roman" w:hAnsi="Times New Roman" w:cs="Times New Roman"/>
          <w:sz w:val="24"/>
          <w:szCs w:val="24"/>
        </w:rPr>
        <w:t xml:space="preserve">. </w:t>
      </w:r>
      <w:r w:rsidR="00E56C4B" w:rsidRPr="007756A8">
        <w:rPr>
          <w:rFonts w:ascii="Times New Roman" w:hAnsi="Times New Roman" w:cs="Times New Roman"/>
          <w:sz w:val="24"/>
          <w:szCs w:val="24"/>
        </w:rPr>
        <w:t>A</w:t>
      </w:r>
      <w:r w:rsidR="00623038" w:rsidRPr="007756A8">
        <w:rPr>
          <w:rFonts w:ascii="Times New Roman" w:hAnsi="Times New Roman" w:cs="Times New Roman"/>
          <w:sz w:val="24"/>
          <w:szCs w:val="24"/>
        </w:rPr>
        <w:t>n email receipt confirmation will be sent for each e-mail</w:t>
      </w:r>
      <w:r w:rsidR="0058032B" w:rsidRPr="007756A8">
        <w:rPr>
          <w:rFonts w:ascii="Times New Roman" w:hAnsi="Times New Roman" w:cs="Times New Roman"/>
          <w:sz w:val="24"/>
          <w:szCs w:val="24"/>
        </w:rPr>
        <w:t xml:space="preserve"> submission</w:t>
      </w:r>
      <w:r w:rsidR="00532354">
        <w:rPr>
          <w:rFonts w:ascii="Times New Roman" w:hAnsi="Times New Roman" w:cs="Times New Roman"/>
          <w:sz w:val="24"/>
          <w:szCs w:val="24"/>
        </w:rPr>
        <w:t xml:space="preserve"> received</w:t>
      </w:r>
      <w:r w:rsidR="00623038" w:rsidRPr="007756A8">
        <w:rPr>
          <w:rFonts w:ascii="Times New Roman" w:hAnsi="Times New Roman" w:cs="Times New Roman"/>
          <w:sz w:val="24"/>
          <w:szCs w:val="24"/>
        </w:rPr>
        <w:t>.</w:t>
      </w:r>
      <w:r w:rsidR="00623038" w:rsidRPr="007756A8">
        <w:rPr>
          <w:rFonts w:ascii="Times New Roman" w:hAnsi="Times New Roman" w:cs="Times New Roman"/>
          <w:sz w:val="24"/>
          <w:szCs w:val="24"/>
        </w:rPr>
        <w:br/>
      </w:r>
      <w:r w:rsidR="00623038" w:rsidRPr="007756A8">
        <w:rPr>
          <w:rFonts w:ascii="Times New Roman" w:hAnsi="Times New Roman" w:cs="Times New Roman"/>
          <w:sz w:val="24"/>
          <w:szCs w:val="24"/>
        </w:rPr>
        <w:br/>
      </w:r>
      <w:r w:rsidR="00532354">
        <w:rPr>
          <w:rFonts w:ascii="Times New Roman" w:hAnsi="Times New Roman" w:cs="Times New Roman"/>
          <w:sz w:val="24"/>
          <w:szCs w:val="24"/>
        </w:rPr>
        <w:t xml:space="preserve">Your submission </w:t>
      </w:r>
      <w:r w:rsidR="00E56C4B" w:rsidRPr="007756A8">
        <w:rPr>
          <w:rFonts w:ascii="Times New Roman" w:hAnsi="Times New Roman" w:cs="Times New Roman"/>
          <w:sz w:val="24"/>
          <w:szCs w:val="24"/>
        </w:rPr>
        <w:t xml:space="preserve">email </w:t>
      </w:r>
      <w:r w:rsidR="00623038" w:rsidRPr="007756A8">
        <w:rPr>
          <w:rFonts w:ascii="Times New Roman" w:hAnsi="Times New Roman" w:cs="Times New Roman"/>
          <w:sz w:val="24"/>
          <w:szCs w:val="24"/>
        </w:rPr>
        <w:t>must bear the following</w:t>
      </w:r>
      <w:r w:rsidR="00623038" w:rsidRPr="007756A8">
        <w:rPr>
          <w:rFonts w:ascii="Times New Roman" w:hAnsi="Times New Roman" w:cs="Times New Roman"/>
          <w:b/>
          <w:sz w:val="24"/>
          <w:szCs w:val="24"/>
        </w:rPr>
        <w:t xml:space="preserve"> </w:t>
      </w:r>
      <w:r w:rsidR="00E56C4B" w:rsidRPr="00B10494">
        <w:rPr>
          <w:rFonts w:ascii="Times New Roman" w:hAnsi="Times New Roman" w:cs="Times New Roman"/>
          <w:bCs/>
          <w:sz w:val="24"/>
          <w:szCs w:val="24"/>
        </w:rPr>
        <w:t>subject</w:t>
      </w:r>
      <w:r w:rsidR="00E56C4B" w:rsidRPr="007756A8">
        <w:rPr>
          <w:rFonts w:ascii="Times New Roman" w:hAnsi="Times New Roman" w:cs="Times New Roman"/>
          <w:b/>
          <w:sz w:val="24"/>
          <w:szCs w:val="24"/>
        </w:rPr>
        <w:t xml:space="preserve">: </w:t>
      </w:r>
      <w:r w:rsidR="00F12F85">
        <w:rPr>
          <w:rFonts w:ascii="Times New Roman" w:hAnsi="Times New Roman" w:cs="Times New Roman"/>
          <w:b/>
          <w:sz w:val="24"/>
          <w:szCs w:val="24"/>
        </w:rPr>
        <w:t xml:space="preserve">CSBI3/2024 </w:t>
      </w:r>
      <w:r w:rsidR="00623038" w:rsidRPr="007756A8">
        <w:rPr>
          <w:rFonts w:ascii="Times New Roman" w:hAnsi="Times New Roman" w:cs="Times New Roman"/>
          <w:b/>
          <w:sz w:val="24"/>
          <w:szCs w:val="24"/>
        </w:rPr>
        <w:t>Call for Proposals</w:t>
      </w:r>
      <w:r w:rsidR="00B50B34">
        <w:rPr>
          <w:rFonts w:ascii="Times New Roman" w:hAnsi="Times New Roman" w:cs="Times New Roman"/>
          <w:b/>
          <w:sz w:val="24"/>
          <w:szCs w:val="24"/>
        </w:rPr>
        <w:t xml:space="preserve"> </w:t>
      </w:r>
      <w:r w:rsidR="00F12F85">
        <w:rPr>
          <w:rFonts w:ascii="Times New Roman" w:hAnsi="Times New Roman" w:cs="Times New Roman"/>
          <w:b/>
          <w:sz w:val="24"/>
          <w:szCs w:val="24"/>
        </w:rPr>
        <w:t>&amp;</w:t>
      </w:r>
      <w:r w:rsidR="00B50B34">
        <w:rPr>
          <w:rFonts w:ascii="Times New Roman" w:hAnsi="Times New Roman" w:cs="Times New Roman"/>
          <w:b/>
          <w:sz w:val="24"/>
          <w:szCs w:val="24"/>
        </w:rPr>
        <w:t xml:space="preserve"> Concepts</w:t>
      </w:r>
      <w:r w:rsidR="00E56C4B" w:rsidRPr="007756A8">
        <w:rPr>
          <w:rFonts w:ascii="Times New Roman" w:hAnsi="Times New Roman" w:cs="Times New Roman"/>
          <w:b/>
          <w:sz w:val="24"/>
          <w:szCs w:val="24"/>
        </w:rPr>
        <w:t>/</w:t>
      </w:r>
      <w:r w:rsidR="00B50B34" w:rsidRPr="007756A8">
        <w:rPr>
          <w:rFonts w:ascii="Times New Roman" w:hAnsi="Times New Roman" w:cs="Times New Roman"/>
          <w:b/>
          <w:sz w:val="24"/>
          <w:szCs w:val="24"/>
        </w:rPr>
        <w:t xml:space="preserve"> </w:t>
      </w:r>
      <w:r w:rsidR="00E56C4B" w:rsidRPr="007756A8">
        <w:rPr>
          <w:rFonts w:ascii="Times New Roman" w:hAnsi="Times New Roman" w:cs="Times New Roman"/>
          <w:b/>
          <w:sz w:val="24"/>
          <w:szCs w:val="24"/>
        </w:rPr>
        <w:t>RLMS</w:t>
      </w:r>
      <w:r w:rsidR="00623038" w:rsidRPr="007756A8">
        <w:rPr>
          <w:rFonts w:ascii="Times New Roman" w:hAnsi="Times New Roman" w:cs="Times New Roman"/>
          <w:b/>
          <w:sz w:val="24"/>
          <w:szCs w:val="24"/>
        </w:rPr>
        <w:t xml:space="preserve"> </w:t>
      </w:r>
    </w:p>
    <w:p w14:paraId="4C81B03C" w14:textId="68C76A64" w:rsidR="00623038" w:rsidRPr="007756A8" w:rsidRDefault="00623038" w:rsidP="00623038">
      <w:pPr>
        <w:rPr>
          <w:rFonts w:ascii="Times New Roman" w:hAnsi="Times New Roman" w:cs="Times New Roman"/>
          <w:sz w:val="24"/>
          <w:szCs w:val="24"/>
        </w:rPr>
      </w:pPr>
      <w:r w:rsidRPr="00532354">
        <w:rPr>
          <w:rFonts w:ascii="Times New Roman" w:hAnsi="Times New Roman" w:cs="Times New Roman"/>
          <w:b/>
          <w:sz w:val="24"/>
          <w:szCs w:val="24"/>
          <w:shd w:val="clear" w:color="auto" w:fill="BFBFBF" w:themeFill="background1" w:themeFillShade="BF"/>
        </w:rPr>
        <w:t>Evaluation &amp; Selection of Applicants</w:t>
      </w:r>
      <w:r w:rsidRPr="007756A8">
        <w:rPr>
          <w:rFonts w:ascii="Times New Roman" w:hAnsi="Times New Roman" w:cs="Times New Roman"/>
          <w:b/>
          <w:sz w:val="24"/>
          <w:szCs w:val="24"/>
        </w:rPr>
        <w:br/>
      </w:r>
      <w:r w:rsidRPr="007756A8">
        <w:rPr>
          <w:rFonts w:ascii="Times New Roman" w:hAnsi="Times New Roman" w:cs="Times New Roman"/>
          <w:sz w:val="24"/>
          <w:szCs w:val="24"/>
        </w:rPr>
        <w:t xml:space="preserve">Applications will be examined and evaluated by the Contracting Authority with the possible </w:t>
      </w:r>
      <w:r w:rsidRPr="007756A8">
        <w:rPr>
          <w:rFonts w:ascii="Times New Roman" w:hAnsi="Times New Roman" w:cs="Times New Roman"/>
          <w:sz w:val="24"/>
          <w:szCs w:val="24"/>
        </w:rPr>
        <w:lastRenderedPageBreak/>
        <w:t>assistance of external assessors. All proposals submitted will be assessed according to the following criteria</w:t>
      </w:r>
      <w:r w:rsidR="006E01BF">
        <w:rPr>
          <w:rFonts w:ascii="Times New Roman" w:hAnsi="Times New Roman" w:cs="Times New Roman"/>
          <w:sz w:val="24"/>
          <w:szCs w:val="24"/>
        </w:rPr>
        <w:t>:</w:t>
      </w:r>
      <w:r w:rsidR="006E01BF">
        <w:rPr>
          <w:rFonts w:ascii="Times New Roman" w:hAnsi="Times New Roman" w:cs="Times New Roman"/>
          <w:sz w:val="24"/>
          <w:szCs w:val="24"/>
        </w:rPr>
        <w:br/>
      </w:r>
      <w:r w:rsidR="006E01BF">
        <w:rPr>
          <w:rFonts w:ascii="Times New Roman" w:hAnsi="Times New Roman" w:cs="Times New Roman"/>
          <w:sz w:val="24"/>
          <w:szCs w:val="24"/>
        </w:rPr>
        <w:br/>
      </w:r>
      <w:r w:rsidRPr="007756A8">
        <w:rPr>
          <w:rFonts w:ascii="Times New Roman" w:hAnsi="Times New Roman" w:cs="Times New Roman"/>
          <w:b/>
          <w:sz w:val="24"/>
          <w:szCs w:val="24"/>
        </w:rPr>
        <w:t xml:space="preserve">Step 1: </w:t>
      </w:r>
      <w:r w:rsidRPr="00532354">
        <w:rPr>
          <w:rFonts w:ascii="Times New Roman" w:hAnsi="Times New Roman" w:cs="Times New Roman"/>
          <w:b/>
          <w:sz w:val="24"/>
          <w:szCs w:val="24"/>
          <w:shd w:val="clear" w:color="auto" w:fill="BFBFBF" w:themeFill="background1" w:themeFillShade="BF"/>
        </w:rPr>
        <w:t>OPENING &amp; ADMINISTRATIVE CHECKS</w:t>
      </w:r>
      <w:r w:rsidR="00DF56D6" w:rsidRPr="007756A8">
        <w:rPr>
          <w:rFonts w:ascii="Times New Roman" w:hAnsi="Times New Roman" w:cs="Times New Roman"/>
          <w:b/>
          <w:sz w:val="24"/>
          <w:szCs w:val="24"/>
        </w:rPr>
        <w:t xml:space="preserve"> </w:t>
      </w:r>
      <w:r w:rsidR="00C81262">
        <w:rPr>
          <w:rFonts w:ascii="Times New Roman" w:hAnsi="Times New Roman" w:cs="Times New Roman"/>
          <w:b/>
          <w:sz w:val="24"/>
          <w:szCs w:val="24"/>
        </w:rPr>
        <w:t>(</w:t>
      </w:r>
      <w:r w:rsidR="0059503A" w:rsidRPr="00582050">
        <w:rPr>
          <w:rFonts w:ascii="Times New Roman" w:hAnsi="Times New Roman" w:cs="Times New Roman"/>
          <w:sz w:val="24"/>
          <w:szCs w:val="24"/>
        </w:rPr>
        <w:t>The EU will be an Observer in the Evaluation process and will act as the final point of appeal</w:t>
      </w:r>
      <w:r w:rsidR="00706D32">
        <w:rPr>
          <w:rFonts w:ascii="Times New Roman" w:hAnsi="Times New Roman" w:cs="Times New Roman"/>
          <w:sz w:val="24"/>
          <w:szCs w:val="24"/>
        </w:rPr>
        <w:t xml:space="preserve">. </w:t>
      </w:r>
      <w:r w:rsidR="00706D32" w:rsidRPr="00706D32">
        <w:rPr>
          <w:rFonts w:ascii="Times New Roman" w:hAnsi="Times New Roman" w:cs="Times New Roman"/>
          <w:sz w:val="24"/>
          <w:szCs w:val="24"/>
        </w:rPr>
        <w:t>An applicant believing that it has been harmed by an error or irregularity during the award process may lodge a complaint</w:t>
      </w:r>
      <w:r w:rsidR="00C81262">
        <w:rPr>
          <w:rFonts w:ascii="Times New Roman" w:hAnsi="Times New Roman" w:cs="Times New Roman"/>
          <w:sz w:val="24"/>
          <w:szCs w:val="24"/>
        </w:rPr>
        <w:t>)</w:t>
      </w:r>
      <w:r w:rsidR="0059503A" w:rsidRPr="00582050">
        <w:rPr>
          <w:rFonts w:ascii="Times New Roman" w:hAnsi="Times New Roman" w:cs="Times New Roman"/>
          <w:sz w:val="24"/>
          <w:szCs w:val="24"/>
        </w:rPr>
        <w:t>.</w:t>
      </w:r>
      <w:r w:rsidR="0059503A" w:rsidRPr="007756A8">
        <w:rPr>
          <w:rFonts w:ascii="Times New Roman" w:hAnsi="Times New Roman" w:cs="Times New Roman"/>
          <w:sz w:val="24"/>
          <w:szCs w:val="24"/>
        </w:rPr>
        <w:br/>
      </w:r>
      <w:r w:rsidRPr="007756A8">
        <w:rPr>
          <w:rFonts w:ascii="Times New Roman" w:hAnsi="Times New Roman" w:cs="Times New Roman"/>
          <w:sz w:val="24"/>
          <w:szCs w:val="24"/>
        </w:rPr>
        <w:t>a. Compliance with the submission deadline. If the deadline has not been met, the application will be automatically rejected.</w:t>
      </w:r>
    </w:p>
    <w:p w14:paraId="2652C40B" w14:textId="77777777" w:rsidR="00623038" w:rsidRPr="007756A8" w:rsidRDefault="00623038" w:rsidP="00623038">
      <w:pPr>
        <w:rPr>
          <w:rFonts w:ascii="Times New Roman" w:hAnsi="Times New Roman" w:cs="Times New Roman"/>
          <w:b/>
          <w:sz w:val="24"/>
          <w:szCs w:val="24"/>
        </w:rPr>
      </w:pPr>
      <w:r w:rsidRPr="007756A8">
        <w:rPr>
          <w:rFonts w:ascii="Times New Roman" w:hAnsi="Times New Roman" w:cs="Times New Roman"/>
          <w:sz w:val="24"/>
          <w:szCs w:val="24"/>
        </w:rPr>
        <w:t xml:space="preserve">b. The Application Form satisfies all the criteria specified in points 1-5 of the Checklist (last page of Application Form). If any information is missing or incorrect, the application may be rejected on that </w:t>
      </w:r>
      <w:r w:rsidRPr="007756A8">
        <w:rPr>
          <w:rFonts w:ascii="Times New Roman" w:hAnsi="Times New Roman" w:cs="Times New Roman"/>
          <w:b/>
          <w:sz w:val="24"/>
          <w:szCs w:val="24"/>
          <w:u w:val="single"/>
        </w:rPr>
        <w:t>sole</w:t>
      </w:r>
      <w:r w:rsidRPr="007756A8">
        <w:rPr>
          <w:rFonts w:ascii="Times New Roman" w:hAnsi="Times New Roman" w:cs="Times New Roman"/>
          <w:sz w:val="24"/>
          <w:szCs w:val="24"/>
        </w:rPr>
        <w:t xml:space="preserve"> basis and the application will not be evaluated further.</w:t>
      </w:r>
    </w:p>
    <w:p w14:paraId="50379018" w14:textId="6A220065" w:rsidR="00C51423" w:rsidRDefault="00623038" w:rsidP="00C51423">
      <w:pPr>
        <w:rPr>
          <w:rFonts w:ascii="Times New Roman" w:hAnsi="Times New Roman" w:cs="Times New Roman"/>
          <w:b/>
          <w:sz w:val="24"/>
          <w:szCs w:val="24"/>
        </w:rPr>
      </w:pPr>
      <w:r w:rsidRPr="007756A8">
        <w:rPr>
          <w:rFonts w:ascii="Times New Roman" w:hAnsi="Times New Roman" w:cs="Times New Roman"/>
          <w:b/>
          <w:sz w:val="24"/>
          <w:szCs w:val="24"/>
        </w:rPr>
        <w:t>Step 2:</w:t>
      </w:r>
      <w:r w:rsidRPr="007756A8">
        <w:rPr>
          <w:rFonts w:ascii="Times New Roman" w:hAnsi="Times New Roman" w:cs="Times New Roman"/>
          <w:sz w:val="24"/>
          <w:szCs w:val="24"/>
        </w:rPr>
        <w:t xml:space="preserve"> The </w:t>
      </w:r>
      <w:r w:rsidRPr="00532354">
        <w:rPr>
          <w:rFonts w:ascii="Times New Roman" w:hAnsi="Times New Roman" w:cs="Times New Roman"/>
          <w:b/>
          <w:sz w:val="24"/>
          <w:szCs w:val="24"/>
          <w:u w:val="single"/>
          <w:shd w:val="clear" w:color="auto" w:fill="BFBFBF" w:themeFill="background1" w:themeFillShade="BF"/>
        </w:rPr>
        <w:t>evaluation criteria</w:t>
      </w:r>
      <w:r w:rsidRPr="007756A8">
        <w:rPr>
          <w:rFonts w:ascii="Times New Roman" w:hAnsi="Times New Roman" w:cs="Times New Roman"/>
          <w:sz w:val="24"/>
          <w:szCs w:val="24"/>
        </w:rPr>
        <w:t xml:space="preserve"> are divided into sections and subsections. Each subsection will be given a score between 1 and 5 as follows: 1 = very poor; 2 = poor; 3 = adequate; 4 = good; 5 = very good. </w:t>
      </w:r>
      <w:r w:rsidR="0023020E">
        <w:rPr>
          <w:rFonts w:ascii="Times New Roman" w:hAnsi="Times New Roman" w:cs="Times New Roman"/>
          <w:sz w:val="24"/>
          <w:szCs w:val="24"/>
        </w:rPr>
        <w:t xml:space="preserve">Please note that Proposals submitted </w:t>
      </w:r>
      <w:r w:rsidR="008B6223">
        <w:rPr>
          <w:rFonts w:ascii="Times New Roman" w:hAnsi="Times New Roman" w:cs="Times New Roman"/>
          <w:sz w:val="24"/>
          <w:szCs w:val="24"/>
        </w:rPr>
        <w:t>for</w:t>
      </w:r>
      <w:r w:rsidR="0023020E">
        <w:rPr>
          <w:rFonts w:ascii="Times New Roman" w:hAnsi="Times New Roman" w:cs="Times New Roman"/>
          <w:sz w:val="24"/>
          <w:szCs w:val="24"/>
        </w:rPr>
        <w:t xml:space="preserve"> Lot 1 will be reviewed </w:t>
      </w:r>
      <w:r w:rsidR="008B6223">
        <w:rPr>
          <w:rFonts w:ascii="Times New Roman" w:hAnsi="Times New Roman" w:cs="Times New Roman"/>
          <w:sz w:val="24"/>
          <w:szCs w:val="24"/>
        </w:rPr>
        <w:t>separately from Concept Notes submitted for Lot 2.</w:t>
      </w:r>
      <w:r w:rsidR="00C51423" w:rsidRPr="007756A8">
        <w:rPr>
          <w:rFonts w:ascii="Times New Roman" w:hAnsi="Times New Roman" w:cs="Times New Roman"/>
          <w:sz w:val="24"/>
          <w:szCs w:val="24"/>
        </w:rPr>
        <w:br/>
      </w:r>
    </w:p>
    <w:p w14:paraId="0EB86D4A" w14:textId="0A0C608F" w:rsidR="008B6223" w:rsidRPr="007756A8" w:rsidRDefault="008B6223" w:rsidP="00C51423">
      <w:pPr>
        <w:rPr>
          <w:rFonts w:ascii="Times New Roman" w:hAnsi="Times New Roman" w:cs="Times New Roman"/>
          <w:b/>
          <w:sz w:val="24"/>
          <w:szCs w:val="24"/>
        </w:rPr>
      </w:pPr>
      <w:r>
        <w:rPr>
          <w:rFonts w:ascii="Times New Roman" w:hAnsi="Times New Roman" w:cs="Times New Roman"/>
          <w:b/>
          <w:sz w:val="24"/>
          <w:szCs w:val="24"/>
        </w:rPr>
        <w:t xml:space="preserve">EVALUATION GRID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1559"/>
        <w:gridCol w:w="1701"/>
      </w:tblGrid>
      <w:tr w:rsidR="00C07AB7" w:rsidRPr="007756A8" w14:paraId="07F37E10" w14:textId="344DBBCF" w:rsidTr="006456CC">
        <w:tc>
          <w:tcPr>
            <w:tcW w:w="7514" w:type="dxa"/>
            <w:vAlign w:val="center"/>
          </w:tcPr>
          <w:p w14:paraId="7E9FC819" w14:textId="77777777" w:rsidR="00C07AB7" w:rsidRPr="007756A8" w:rsidRDefault="00C07AB7"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Section</w:t>
            </w:r>
          </w:p>
        </w:tc>
        <w:tc>
          <w:tcPr>
            <w:tcW w:w="1559" w:type="dxa"/>
            <w:vAlign w:val="center"/>
          </w:tcPr>
          <w:p w14:paraId="52CC700D" w14:textId="5E44BE8F" w:rsidR="00C07AB7" w:rsidRPr="007756A8" w:rsidRDefault="00C07AB7" w:rsidP="00AD23CA">
            <w:pPr>
              <w:spacing w:before="120"/>
              <w:jc w:val="center"/>
              <w:rPr>
                <w:rFonts w:ascii="Times New Roman" w:hAnsi="Times New Roman" w:cs="Times New Roman"/>
                <w:b/>
                <w:sz w:val="24"/>
                <w:szCs w:val="24"/>
              </w:rPr>
            </w:pPr>
            <w:r>
              <w:rPr>
                <w:rFonts w:ascii="Times New Roman" w:hAnsi="Times New Roman" w:cs="Times New Roman"/>
                <w:b/>
                <w:sz w:val="24"/>
                <w:szCs w:val="24"/>
              </w:rPr>
              <w:t>Full Proposal</w:t>
            </w:r>
            <w:r w:rsidR="00FE2040">
              <w:rPr>
                <w:rFonts w:ascii="Times New Roman" w:hAnsi="Times New Roman" w:cs="Times New Roman"/>
                <w:b/>
                <w:sz w:val="24"/>
                <w:szCs w:val="24"/>
              </w:rPr>
              <w:br/>
              <w:t>(Lot 1)</w:t>
            </w:r>
          </w:p>
        </w:tc>
        <w:tc>
          <w:tcPr>
            <w:tcW w:w="1701" w:type="dxa"/>
          </w:tcPr>
          <w:p w14:paraId="252AD562" w14:textId="28444E4E" w:rsidR="00C07AB7" w:rsidRPr="007756A8" w:rsidRDefault="00C07AB7" w:rsidP="00AD23CA">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Concept Note </w:t>
            </w:r>
            <w:r w:rsidR="00FE2040">
              <w:rPr>
                <w:rFonts w:ascii="Times New Roman" w:hAnsi="Times New Roman" w:cs="Times New Roman"/>
                <w:b/>
                <w:sz w:val="24"/>
                <w:szCs w:val="24"/>
              </w:rPr>
              <w:br/>
              <w:t>(Lot 2)</w:t>
            </w:r>
          </w:p>
        </w:tc>
      </w:tr>
      <w:tr w:rsidR="00C07AB7" w:rsidRPr="007756A8" w14:paraId="63E56E77" w14:textId="0E6FC5BF" w:rsidTr="006456CC">
        <w:tc>
          <w:tcPr>
            <w:tcW w:w="7514" w:type="dxa"/>
            <w:shd w:val="pct10" w:color="auto" w:fill="FFFFFF"/>
            <w:vAlign w:val="center"/>
          </w:tcPr>
          <w:p w14:paraId="2337EF66" w14:textId="77777777" w:rsidR="00C07AB7" w:rsidRPr="007756A8" w:rsidRDefault="00C07AB7" w:rsidP="00AD23CA">
            <w:pPr>
              <w:spacing w:before="120"/>
              <w:rPr>
                <w:rFonts w:ascii="Times New Roman" w:hAnsi="Times New Roman" w:cs="Times New Roman"/>
                <w:sz w:val="24"/>
                <w:szCs w:val="24"/>
              </w:rPr>
            </w:pPr>
            <w:r w:rsidRPr="007756A8">
              <w:rPr>
                <w:rFonts w:ascii="Times New Roman" w:hAnsi="Times New Roman" w:cs="Times New Roman"/>
                <w:b/>
                <w:sz w:val="24"/>
                <w:szCs w:val="24"/>
              </w:rPr>
              <w:t>1. Financial and operational capacity</w:t>
            </w:r>
          </w:p>
        </w:tc>
        <w:tc>
          <w:tcPr>
            <w:tcW w:w="1559" w:type="dxa"/>
            <w:shd w:val="pct10" w:color="auto" w:fill="FFFFFF"/>
            <w:vAlign w:val="center"/>
          </w:tcPr>
          <w:p w14:paraId="33E7EFC0" w14:textId="1109EA65" w:rsidR="00C07AB7" w:rsidRPr="007756A8" w:rsidRDefault="00C07AB7" w:rsidP="00AD23CA">
            <w:pPr>
              <w:spacing w:before="120"/>
              <w:jc w:val="center"/>
              <w:rPr>
                <w:rFonts w:ascii="Times New Roman" w:hAnsi="Times New Roman" w:cs="Times New Roman"/>
                <w:b/>
                <w:sz w:val="24"/>
                <w:szCs w:val="24"/>
              </w:rPr>
            </w:pPr>
            <w:r>
              <w:rPr>
                <w:rFonts w:ascii="Times New Roman" w:hAnsi="Times New Roman" w:cs="Times New Roman"/>
                <w:b/>
                <w:sz w:val="24"/>
                <w:szCs w:val="24"/>
              </w:rPr>
              <w:t>2</w:t>
            </w:r>
            <w:r w:rsidRPr="007756A8">
              <w:rPr>
                <w:rFonts w:ascii="Times New Roman" w:hAnsi="Times New Roman" w:cs="Times New Roman"/>
                <w:b/>
                <w:sz w:val="24"/>
                <w:szCs w:val="24"/>
              </w:rPr>
              <w:t>0</w:t>
            </w:r>
          </w:p>
        </w:tc>
        <w:tc>
          <w:tcPr>
            <w:tcW w:w="1701" w:type="dxa"/>
            <w:shd w:val="pct10" w:color="auto" w:fill="FFFFFF"/>
          </w:tcPr>
          <w:p w14:paraId="7101DCE4" w14:textId="58218B88" w:rsidR="00C07AB7" w:rsidRDefault="00FE2040" w:rsidP="00AD23CA">
            <w:pPr>
              <w:spacing w:before="120"/>
              <w:jc w:val="center"/>
              <w:rPr>
                <w:rFonts w:ascii="Times New Roman" w:hAnsi="Times New Roman" w:cs="Times New Roman"/>
                <w:b/>
                <w:sz w:val="24"/>
                <w:szCs w:val="24"/>
              </w:rPr>
            </w:pPr>
            <w:r>
              <w:rPr>
                <w:rFonts w:ascii="Times New Roman" w:hAnsi="Times New Roman" w:cs="Times New Roman"/>
                <w:b/>
                <w:sz w:val="24"/>
                <w:szCs w:val="24"/>
              </w:rPr>
              <w:t>N/A</w:t>
            </w:r>
          </w:p>
        </w:tc>
      </w:tr>
      <w:tr w:rsidR="00C07AB7" w:rsidRPr="007756A8" w14:paraId="5C3E358C" w14:textId="7DAC1400" w:rsidTr="006456CC">
        <w:tc>
          <w:tcPr>
            <w:tcW w:w="7514" w:type="dxa"/>
          </w:tcPr>
          <w:p w14:paraId="73CBC3A3" w14:textId="30EE3EFA"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1.1 Do</w:t>
            </w:r>
            <w:r>
              <w:rPr>
                <w:rFonts w:ascii="Times New Roman" w:hAnsi="Times New Roman" w:cs="Times New Roman"/>
                <w:sz w:val="24"/>
                <w:szCs w:val="24"/>
              </w:rPr>
              <w:t>/es</w:t>
            </w:r>
            <w:r w:rsidRPr="007756A8">
              <w:rPr>
                <w:rFonts w:ascii="Times New Roman" w:hAnsi="Times New Roman" w:cs="Times New Roman"/>
                <w:sz w:val="24"/>
                <w:szCs w:val="24"/>
              </w:rPr>
              <w:t xml:space="preserve"> the applicant</w:t>
            </w:r>
            <w:r>
              <w:rPr>
                <w:rFonts w:ascii="Times New Roman" w:hAnsi="Times New Roman" w:cs="Times New Roman"/>
                <w:sz w:val="24"/>
                <w:szCs w:val="24"/>
              </w:rPr>
              <w:t>/</w:t>
            </w:r>
            <w:r w:rsidRPr="007756A8">
              <w:rPr>
                <w:rFonts w:ascii="Times New Roman" w:hAnsi="Times New Roman" w:cs="Times New Roman"/>
                <w:sz w:val="24"/>
                <w:szCs w:val="24"/>
              </w:rPr>
              <w:t>s and, if applicable, their affiliated entity(ies) have sufficient experience of project</w:t>
            </w:r>
            <w:r w:rsidRPr="007756A8">
              <w:rPr>
                <w:rFonts w:ascii="Times New Roman" w:hAnsi="Times New Roman" w:cs="Times New Roman"/>
                <w:b/>
                <w:sz w:val="24"/>
                <w:szCs w:val="24"/>
              </w:rPr>
              <w:t xml:space="preserve"> </w:t>
            </w:r>
            <w:r w:rsidRPr="007756A8">
              <w:rPr>
                <w:rFonts w:ascii="Times New Roman" w:hAnsi="Times New Roman" w:cs="Times New Roman"/>
                <w:sz w:val="24"/>
                <w:szCs w:val="24"/>
              </w:rPr>
              <w:t xml:space="preserve">management? </w:t>
            </w:r>
          </w:p>
        </w:tc>
        <w:tc>
          <w:tcPr>
            <w:tcW w:w="1559" w:type="dxa"/>
          </w:tcPr>
          <w:p w14:paraId="6B1D4072" w14:textId="77777777" w:rsidR="00C07AB7" w:rsidRPr="007756A8" w:rsidRDefault="00C07AB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4D884D91" w14:textId="19F2D3E0" w:rsidR="00C07AB7" w:rsidRPr="007756A8" w:rsidRDefault="00FE2040" w:rsidP="00AD23CA">
            <w:pPr>
              <w:spacing w:before="120"/>
              <w:jc w:val="center"/>
              <w:rPr>
                <w:rFonts w:ascii="Times New Roman" w:hAnsi="Times New Roman" w:cs="Times New Roman"/>
                <w:sz w:val="24"/>
                <w:szCs w:val="24"/>
              </w:rPr>
            </w:pPr>
            <w:r>
              <w:rPr>
                <w:rFonts w:ascii="Times New Roman" w:hAnsi="Times New Roman" w:cs="Times New Roman"/>
                <w:sz w:val="24"/>
                <w:szCs w:val="24"/>
              </w:rPr>
              <w:t>-</w:t>
            </w:r>
          </w:p>
        </w:tc>
      </w:tr>
      <w:tr w:rsidR="00FE2040" w:rsidRPr="007756A8" w14:paraId="3A32AACB" w14:textId="123E59F7" w:rsidTr="006456CC">
        <w:tc>
          <w:tcPr>
            <w:tcW w:w="7514" w:type="dxa"/>
          </w:tcPr>
          <w:p w14:paraId="5999177F" w14:textId="1624DC92" w:rsidR="00FE2040" w:rsidRPr="007756A8" w:rsidRDefault="00FE2040" w:rsidP="00FE2040">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1.2 Do</w:t>
            </w:r>
            <w:r>
              <w:rPr>
                <w:rFonts w:ascii="Times New Roman" w:hAnsi="Times New Roman" w:cs="Times New Roman"/>
                <w:sz w:val="24"/>
                <w:szCs w:val="24"/>
              </w:rPr>
              <w:t>/es</w:t>
            </w:r>
            <w:r w:rsidRPr="007756A8">
              <w:rPr>
                <w:rFonts w:ascii="Times New Roman" w:hAnsi="Times New Roman" w:cs="Times New Roman"/>
                <w:sz w:val="24"/>
                <w:szCs w:val="24"/>
              </w:rPr>
              <w:t xml:space="preserve"> the applicant</w:t>
            </w:r>
            <w:r>
              <w:rPr>
                <w:rFonts w:ascii="Times New Roman" w:hAnsi="Times New Roman" w:cs="Times New Roman"/>
                <w:sz w:val="24"/>
                <w:szCs w:val="24"/>
              </w:rPr>
              <w:t>/</w:t>
            </w:r>
            <w:r w:rsidRPr="007756A8">
              <w:rPr>
                <w:rFonts w:ascii="Times New Roman" w:hAnsi="Times New Roman" w:cs="Times New Roman"/>
                <w:sz w:val="24"/>
                <w:szCs w:val="24"/>
              </w:rPr>
              <w:t>s and, if applicable, their affiliated entity(ies) have sufficient technical expertise? (especially knowledge of the issues to be addressed)</w:t>
            </w:r>
          </w:p>
        </w:tc>
        <w:tc>
          <w:tcPr>
            <w:tcW w:w="1559" w:type="dxa"/>
          </w:tcPr>
          <w:p w14:paraId="61274298" w14:textId="77777777" w:rsidR="00FE2040" w:rsidRPr="007756A8" w:rsidRDefault="00FE2040" w:rsidP="00FE2040">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7D0E1DC6" w14:textId="43A84645" w:rsidR="00FE2040" w:rsidRPr="007756A8" w:rsidRDefault="00FE2040" w:rsidP="00FE2040">
            <w:pPr>
              <w:spacing w:before="120"/>
              <w:jc w:val="center"/>
              <w:rPr>
                <w:rFonts w:ascii="Times New Roman" w:hAnsi="Times New Roman" w:cs="Times New Roman"/>
                <w:sz w:val="24"/>
                <w:szCs w:val="24"/>
              </w:rPr>
            </w:pPr>
            <w:r w:rsidRPr="00DA665B">
              <w:rPr>
                <w:rFonts w:ascii="Times New Roman" w:hAnsi="Times New Roman" w:cs="Times New Roman"/>
                <w:sz w:val="24"/>
                <w:szCs w:val="24"/>
              </w:rPr>
              <w:t>-</w:t>
            </w:r>
          </w:p>
        </w:tc>
      </w:tr>
      <w:tr w:rsidR="00FE2040" w:rsidRPr="007756A8" w14:paraId="3844C57A" w14:textId="1217A7FE" w:rsidTr="006456CC">
        <w:tc>
          <w:tcPr>
            <w:tcW w:w="7514" w:type="dxa"/>
            <w:tcBorders>
              <w:bottom w:val="nil"/>
            </w:tcBorders>
          </w:tcPr>
          <w:p w14:paraId="44CF04F6" w14:textId="7236C54F" w:rsidR="00FE2040" w:rsidRPr="007756A8" w:rsidRDefault="00FE2040" w:rsidP="00FE2040">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1.3 Do</w:t>
            </w:r>
            <w:r>
              <w:rPr>
                <w:rFonts w:ascii="Times New Roman" w:hAnsi="Times New Roman" w:cs="Times New Roman"/>
                <w:sz w:val="24"/>
                <w:szCs w:val="24"/>
              </w:rPr>
              <w:t>/es</w:t>
            </w:r>
            <w:r w:rsidRPr="007756A8">
              <w:rPr>
                <w:rFonts w:ascii="Times New Roman" w:hAnsi="Times New Roman" w:cs="Times New Roman"/>
                <w:sz w:val="24"/>
                <w:szCs w:val="24"/>
              </w:rPr>
              <w:t xml:space="preserve"> the applicant</w:t>
            </w:r>
            <w:r>
              <w:rPr>
                <w:rFonts w:ascii="Times New Roman" w:hAnsi="Times New Roman" w:cs="Times New Roman"/>
                <w:sz w:val="24"/>
                <w:szCs w:val="24"/>
              </w:rPr>
              <w:t>/</w:t>
            </w:r>
            <w:r w:rsidRPr="007756A8">
              <w:rPr>
                <w:rFonts w:ascii="Times New Roman" w:hAnsi="Times New Roman" w:cs="Times New Roman"/>
                <w:sz w:val="24"/>
                <w:szCs w:val="24"/>
              </w:rPr>
              <w:t>s and, if applicable, their affiliated entity(ies) have sufficient management capacity? (Including staff, equipment and ability to handle the budget for the action)?</w:t>
            </w:r>
          </w:p>
        </w:tc>
        <w:tc>
          <w:tcPr>
            <w:tcW w:w="1559" w:type="dxa"/>
            <w:tcBorders>
              <w:bottom w:val="nil"/>
            </w:tcBorders>
          </w:tcPr>
          <w:p w14:paraId="54FE3BB1" w14:textId="77777777" w:rsidR="00FE2040" w:rsidRPr="007756A8" w:rsidRDefault="00FE2040" w:rsidP="00FE2040">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Borders>
              <w:bottom w:val="nil"/>
            </w:tcBorders>
          </w:tcPr>
          <w:p w14:paraId="30947FD6" w14:textId="299CA4D4" w:rsidR="00FE2040" w:rsidRPr="007756A8" w:rsidRDefault="00FE2040" w:rsidP="00FE2040">
            <w:pPr>
              <w:spacing w:before="120"/>
              <w:jc w:val="center"/>
              <w:rPr>
                <w:rFonts w:ascii="Times New Roman" w:hAnsi="Times New Roman" w:cs="Times New Roman"/>
                <w:sz w:val="24"/>
                <w:szCs w:val="24"/>
              </w:rPr>
            </w:pPr>
            <w:r w:rsidRPr="00DA665B">
              <w:rPr>
                <w:rFonts w:ascii="Times New Roman" w:hAnsi="Times New Roman" w:cs="Times New Roman"/>
                <w:sz w:val="24"/>
                <w:szCs w:val="24"/>
              </w:rPr>
              <w:t>-</w:t>
            </w:r>
          </w:p>
        </w:tc>
      </w:tr>
      <w:tr w:rsidR="00FE2040" w:rsidRPr="007756A8" w14:paraId="7290FD25" w14:textId="77D0D394" w:rsidTr="006456CC">
        <w:tc>
          <w:tcPr>
            <w:tcW w:w="7514" w:type="dxa"/>
          </w:tcPr>
          <w:p w14:paraId="41589A6F" w14:textId="77777777" w:rsidR="00FE2040" w:rsidRPr="007756A8" w:rsidRDefault="00FE2040" w:rsidP="00FE2040">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1.4 Does the lead applicant have stable and sufficient sources of finance?</w:t>
            </w:r>
          </w:p>
        </w:tc>
        <w:tc>
          <w:tcPr>
            <w:tcW w:w="1559" w:type="dxa"/>
          </w:tcPr>
          <w:p w14:paraId="7F29683E" w14:textId="77777777" w:rsidR="00FE2040" w:rsidRPr="007756A8" w:rsidRDefault="00FE2040" w:rsidP="00FE2040">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2151C995" w14:textId="796C11BC" w:rsidR="00FE2040" w:rsidRPr="007756A8" w:rsidRDefault="00FE2040" w:rsidP="00FE2040">
            <w:pPr>
              <w:spacing w:before="120"/>
              <w:jc w:val="center"/>
              <w:rPr>
                <w:rFonts w:ascii="Times New Roman" w:hAnsi="Times New Roman" w:cs="Times New Roman"/>
                <w:sz w:val="24"/>
                <w:szCs w:val="24"/>
              </w:rPr>
            </w:pPr>
            <w:r w:rsidRPr="00DA665B">
              <w:rPr>
                <w:rFonts w:ascii="Times New Roman" w:hAnsi="Times New Roman" w:cs="Times New Roman"/>
                <w:sz w:val="24"/>
                <w:szCs w:val="24"/>
              </w:rPr>
              <w:t>-</w:t>
            </w:r>
          </w:p>
        </w:tc>
      </w:tr>
      <w:tr w:rsidR="00C07AB7" w:rsidRPr="007756A8" w14:paraId="4960F899" w14:textId="0C86EF84" w:rsidTr="006456CC">
        <w:tc>
          <w:tcPr>
            <w:tcW w:w="7514" w:type="dxa"/>
            <w:shd w:val="pct10" w:color="auto" w:fill="FFFFFF"/>
            <w:vAlign w:val="center"/>
          </w:tcPr>
          <w:p w14:paraId="3F4C6090" w14:textId="77777777" w:rsidR="00C07AB7" w:rsidRPr="007756A8" w:rsidRDefault="00C07AB7" w:rsidP="00AD23CA">
            <w:pPr>
              <w:spacing w:before="120"/>
              <w:rPr>
                <w:rFonts w:ascii="Times New Roman" w:hAnsi="Times New Roman" w:cs="Times New Roman"/>
                <w:sz w:val="24"/>
                <w:szCs w:val="24"/>
              </w:rPr>
            </w:pPr>
            <w:r w:rsidRPr="007756A8">
              <w:rPr>
                <w:rFonts w:ascii="Times New Roman" w:hAnsi="Times New Roman" w:cs="Times New Roman"/>
                <w:b/>
                <w:sz w:val="24"/>
                <w:szCs w:val="24"/>
              </w:rPr>
              <w:t>2. Effectiveness and feasibility of the action</w:t>
            </w:r>
          </w:p>
        </w:tc>
        <w:tc>
          <w:tcPr>
            <w:tcW w:w="1559" w:type="dxa"/>
            <w:shd w:val="pct10" w:color="auto" w:fill="FFFFFF"/>
            <w:vAlign w:val="center"/>
          </w:tcPr>
          <w:p w14:paraId="70215258" w14:textId="4B5B3602" w:rsidR="00C07AB7" w:rsidRPr="007756A8" w:rsidRDefault="00C07AB7"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35</w:t>
            </w:r>
          </w:p>
        </w:tc>
        <w:tc>
          <w:tcPr>
            <w:tcW w:w="1701" w:type="dxa"/>
            <w:shd w:val="pct10" w:color="auto" w:fill="FFFFFF"/>
          </w:tcPr>
          <w:p w14:paraId="2F9F6549" w14:textId="44DBE39D" w:rsidR="00C07AB7" w:rsidRPr="007756A8" w:rsidRDefault="00CC6F2C" w:rsidP="00AD23CA">
            <w:pPr>
              <w:spacing w:before="120"/>
              <w:jc w:val="center"/>
              <w:rPr>
                <w:rFonts w:ascii="Times New Roman" w:hAnsi="Times New Roman" w:cs="Times New Roman"/>
                <w:b/>
                <w:sz w:val="24"/>
                <w:szCs w:val="24"/>
              </w:rPr>
            </w:pPr>
            <w:r>
              <w:rPr>
                <w:rFonts w:ascii="Times New Roman" w:hAnsi="Times New Roman" w:cs="Times New Roman"/>
                <w:b/>
                <w:sz w:val="24"/>
                <w:szCs w:val="24"/>
              </w:rPr>
              <w:t>3</w:t>
            </w:r>
            <w:r w:rsidR="00BA4381">
              <w:rPr>
                <w:rFonts w:ascii="Times New Roman" w:hAnsi="Times New Roman" w:cs="Times New Roman"/>
                <w:b/>
                <w:sz w:val="24"/>
                <w:szCs w:val="24"/>
              </w:rPr>
              <w:t>5</w:t>
            </w:r>
          </w:p>
        </w:tc>
      </w:tr>
      <w:tr w:rsidR="00C07AB7" w:rsidRPr="007756A8" w14:paraId="05C7B97D" w14:textId="74254197" w:rsidTr="006456CC">
        <w:tc>
          <w:tcPr>
            <w:tcW w:w="7514" w:type="dxa"/>
          </w:tcPr>
          <w:p w14:paraId="2ED9C46B" w14:textId="5A1DF4B7"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noProof/>
                <w:sz w:val="24"/>
                <w:szCs w:val="24"/>
              </w:rPr>
              <w:lastRenderedPageBreak/>
              <w:t>2.1 How relevant is the proposal</w:t>
            </w:r>
            <w:r w:rsidR="00BD4D98">
              <w:rPr>
                <w:rFonts w:ascii="Times New Roman" w:hAnsi="Times New Roman" w:cs="Times New Roman"/>
                <w:noProof/>
                <w:sz w:val="24"/>
                <w:szCs w:val="24"/>
              </w:rPr>
              <w:t>/concept</w:t>
            </w:r>
            <w:r w:rsidRPr="007756A8">
              <w:rPr>
                <w:rFonts w:ascii="Times New Roman" w:hAnsi="Times New Roman" w:cs="Times New Roman"/>
                <w:noProof/>
                <w:sz w:val="24"/>
                <w:szCs w:val="24"/>
              </w:rPr>
              <w:t xml:space="preserve"> </w:t>
            </w:r>
            <w:r w:rsidR="003567F0">
              <w:rPr>
                <w:rFonts w:ascii="Times New Roman" w:hAnsi="Times New Roman" w:cs="Times New Roman"/>
                <w:noProof/>
                <w:sz w:val="24"/>
                <w:szCs w:val="24"/>
              </w:rPr>
              <w:t xml:space="preserve">note </w:t>
            </w:r>
            <w:r w:rsidRPr="007756A8">
              <w:rPr>
                <w:rFonts w:ascii="Times New Roman" w:hAnsi="Times New Roman" w:cs="Times New Roman"/>
                <w:noProof/>
                <w:sz w:val="24"/>
                <w:szCs w:val="24"/>
              </w:rPr>
              <w:t>to the objectives and priorities of the call for proposals or any other specific requirement stated in the guidelines for applicants?</w:t>
            </w:r>
          </w:p>
        </w:tc>
        <w:tc>
          <w:tcPr>
            <w:tcW w:w="1559" w:type="dxa"/>
          </w:tcPr>
          <w:p w14:paraId="73510207" w14:textId="02BDC4AF" w:rsidR="00C07AB7" w:rsidRPr="007756A8" w:rsidRDefault="00525D4E" w:rsidP="00AD23CA">
            <w:pPr>
              <w:spacing w:before="120"/>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14:paraId="5452300C" w14:textId="0CEA3761" w:rsidR="00C07AB7" w:rsidRPr="007756A8" w:rsidRDefault="005C502C" w:rsidP="00AD23CA">
            <w:pPr>
              <w:spacing w:before="120"/>
              <w:jc w:val="center"/>
              <w:rPr>
                <w:rFonts w:ascii="Times New Roman" w:hAnsi="Times New Roman" w:cs="Times New Roman"/>
                <w:sz w:val="24"/>
                <w:szCs w:val="24"/>
              </w:rPr>
            </w:pPr>
            <w:r>
              <w:rPr>
                <w:rFonts w:ascii="Times New Roman" w:hAnsi="Times New Roman" w:cs="Times New Roman"/>
                <w:sz w:val="24"/>
                <w:szCs w:val="24"/>
              </w:rPr>
              <w:t>10</w:t>
            </w:r>
          </w:p>
        </w:tc>
      </w:tr>
      <w:tr w:rsidR="00C07AB7" w:rsidRPr="007756A8" w14:paraId="6212BDFB" w14:textId="2DE29421" w:rsidTr="006456CC">
        <w:tc>
          <w:tcPr>
            <w:tcW w:w="7514" w:type="dxa"/>
          </w:tcPr>
          <w:p w14:paraId="282DDE86" w14:textId="1EC009B2"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2.2 Are the activities proposed appropriate, practical, and consistent with the objectives and expected results?</w:t>
            </w:r>
          </w:p>
        </w:tc>
        <w:tc>
          <w:tcPr>
            <w:tcW w:w="1559" w:type="dxa"/>
          </w:tcPr>
          <w:p w14:paraId="02BE8576" w14:textId="77777777" w:rsidR="00C07AB7" w:rsidRPr="007756A8" w:rsidRDefault="00C07AB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68596FAE" w14:textId="15642571" w:rsidR="00C07AB7" w:rsidRPr="007756A8" w:rsidRDefault="005C502C" w:rsidP="00AD23CA">
            <w:pPr>
              <w:spacing w:before="120"/>
              <w:jc w:val="center"/>
              <w:rPr>
                <w:rFonts w:ascii="Times New Roman" w:hAnsi="Times New Roman" w:cs="Times New Roman"/>
                <w:sz w:val="24"/>
                <w:szCs w:val="24"/>
              </w:rPr>
            </w:pPr>
            <w:r>
              <w:rPr>
                <w:rFonts w:ascii="Times New Roman" w:hAnsi="Times New Roman" w:cs="Times New Roman"/>
                <w:sz w:val="24"/>
                <w:szCs w:val="24"/>
              </w:rPr>
              <w:t>5</w:t>
            </w:r>
          </w:p>
        </w:tc>
      </w:tr>
      <w:tr w:rsidR="00C07AB7" w:rsidRPr="007756A8" w14:paraId="650203B9" w14:textId="4D2443C1" w:rsidTr="006456CC">
        <w:tc>
          <w:tcPr>
            <w:tcW w:w="7514" w:type="dxa"/>
          </w:tcPr>
          <w:p w14:paraId="17A41841" w14:textId="6B6470F0"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noProof/>
                <w:sz w:val="24"/>
                <w:szCs w:val="24"/>
              </w:rPr>
              <w:t>2.3 How clearly defined and strategically chosen are those involved (final beneficiaries, target groups)? Have their needs and constraints been clearly defined and does the proposal</w:t>
            </w:r>
            <w:r w:rsidR="003567F0">
              <w:rPr>
                <w:rFonts w:ascii="Times New Roman" w:hAnsi="Times New Roman" w:cs="Times New Roman"/>
                <w:noProof/>
                <w:sz w:val="24"/>
                <w:szCs w:val="24"/>
              </w:rPr>
              <w:t>/concept note</w:t>
            </w:r>
            <w:r w:rsidRPr="007756A8">
              <w:rPr>
                <w:rFonts w:ascii="Times New Roman" w:hAnsi="Times New Roman" w:cs="Times New Roman"/>
                <w:noProof/>
                <w:sz w:val="24"/>
                <w:szCs w:val="24"/>
              </w:rPr>
              <w:t xml:space="preserve"> address them appropriately?</w:t>
            </w:r>
          </w:p>
        </w:tc>
        <w:tc>
          <w:tcPr>
            <w:tcW w:w="1559" w:type="dxa"/>
          </w:tcPr>
          <w:p w14:paraId="0D432C2A" w14:textId="44BE787C" w:rsidR="00C07AB7" w:rsidRPr="007756A8" w:rsidRDefault="00C07AB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03481D7B" w14:textId="31FF86EA" w:rsidR="00C07AB7" w:rsidRPr="007756A8" w:rsidRDefault="005C502C" w:rsidP="00AD23CA">
            <w:pPr>
              <w:spacing w:before="120"/>
              <w:jc w:val="center"/>
              <w:rPr>
                <w:rFonts w:ascii="Times New Roman" w:hAnsi="Times New Roman" w:cs="Times New Roman"/>
                <w:sz w:val="24"/>
                <w:szCs w:val="24"/>
              </w:rPr>
            </w:pPr>
            <w:r>
              <w:rPr>
                <w:rFonts w:ascii="Times New Roman" w:hAnsi="Times New Roman" w:cs="Times New Roman"/>
                <w:sz w:val="24"/>
                <w:szCs w:val="24"/>
              </w:rPr>
              <w:t>5</w:t>
            </w:r>
          </w:p>
        </w:tc>
      </w:tr>
      <w:tr w:rsidR="00C07AB7" w:rsidRPr="007756A8" w14:paraId="25F67169" w14:textId="2166B4C9" w:rsidTr="006456CC">
        <w:tc>
          <w:tcPr>
            <w:tcW w:w="7514" w:type="dxa"/>
          </w:tcPr>
          <w:p w14:paraId="040F3648" w14:textId="6BEC19D5"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2.4 Is the action plan clear and feasible?</w:t>
            </w:r>
          </w:p>
        </w:tc>
        <w:tc>
          <w:tcPr>
            <w:tcW w:w="1559" w:type="dxa"/>
          </w:tcPr>
          <w:p w14:paraId="56A22872" w14:textId="77777777" w:rsidR="00C07AB7" w:rsidRPr="007756A8" w:rsidRDefault="00C07AB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7C32404A" w14:textId="02A66423" w:rsidR="00C07AB7" w:rsidRPr="007756A8" w:rsidRDefault="00BD603E" w:rsidP="00AD23CA">
            <w:pPr>
              <w:spacing w:before="120"/>
              <w:jc w:val="center"/>
              <w:rPr>
                <w:rFonts w:ascii="Times New Roman" w:hAnsi="Times New Roman" w:cs="Times New Roman"/>
                <w:sz w:val="24"/>
                <w:szCs w:val="24"/>
              </w:rPr>
            </w:pPr>
            <w:r>
              <w:rPr>
                <w:rFonts w:ascii="Times New Roman" w:hAnsi="Times New Roman" w:cs="Times New Roman"/>
                <w:sz w:val="24"/>
                <w:szCs w:val="24"/>
              </w:rPr>
              <w:t>5</w:t>
            </w:r>
          </w:p>
        </w:tc>
      </w:tr>
      <w:tr w:rsidR="00C07AB7" w:rsidRPr="007756A8" w14:paraId="767AE820" w14:textId="0739D4CF" w:rsidTr="006456CC">
        <w:tc>
          <w:tcPr>
            <w:tcW w:w="7514" w:type="dxa"/>
          </w:tcPr>
          <w:p w14:paraId="7A69945F" w14:textId="7A146FED"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2.5 Does the proposal</w:t>
            </w:r>
            <w:r w:rsidR="003F23A9">
              <w:rPr>
                <w:rFonts w:ascii="Times New Roman" w:hAnsi="Times New Roman" w:cs="Times New Roman"/>
                <w:sz w:val="24"/>
                <w:szCs w:val="24"/>
              </w:rPr>
              <w:t>/concept note</w:t>
            </w:r>
            <w:r w:rsidRPr="007756A8">
              <w:rPr>
                <w:rFonts w:ascii="Times New Roman" w:hAnsi="Times New Roman" w:cs="Times New Roman"/>
                <w:sz w:val="24"/>
                <w:szCs w:val="24"/>
              </w:rPr>
              <w:t xml:space="preserve"> contain objectively verifiable indicators for the outcome of the action? Is any evaluation planned</w:t>
            </w:r>
            <w:r w:rsidR="003F23A9">
              <w:rPr>
                <w:rFonts w:ascii="Times New Roman" w:hAnsi="Times New Roman" w:cs="Times New Roman"/>
                <w:sz w:val="24"/>
                <w:szCs w:val="24"/>
              </w:rPr>
              <w:t>/foreseen</w:t>
            </w:r>
            <w:r w:rsidRPr="007756A8">
              <w:rPr>
                <w:rFonts w:ascii="Times New Roman" w:hAnsi="Times New Roman" w:cs="Times New Roman"/>
                <w:sz w:val="24"/>
                <w:szCs w:val="24"/>
              </w:rPr>
              <w:t>?</w:t>
            </w:r>
          </w:p>
        </w:tc>
        <w:tc>
          <w:tcPr>
            <w:tcW w:w="1559" w:type="dxa"/>
          </w:tcPr>
          <w:p w14:paraId="3F6DE870" w14:textId="77777777" w:rsidR="00C07AB7" w:rsidRPr="007756A8" w:rsidRDefault="00C07AB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50A5CCB5" w14:textId="7628194F" w:rsidR="00C07AB7" w:rsidRPr="007756A8" w:rsidRDefault="005C502C" w:rsidP="00AD23CA">
            <w:pPr>
              <w:spacing w:before="120"/>
              <w:jc w:val="center"/>
              <w:rPr>
                <w:rFonts w:ascii="Times New Roman" w:hAnsi="Times New Roman" w:cs="Times New Roman"/>
                <w:sz w:val="24"/>
                <w:szCs w:val="24"/>
              </w:rPr>
            </w:pPr>
            <w:r>
              <w:rPr>
                <w:rFonts w:ascii="Times New Roman" w:hAnsi="Times New Roman" w:cs="Times New Roman"/>
                <w:sz w:val="24"/>
                <w:szCs w:val="24"/>
              </w:rPr>
              <w:t>5</w:t>
            </w:r>
          </w:p>
        </w:tc>
      </w:tr>
      <w:tr w:rsidR="00C07AB7" w:rsidRPr="007756A8" w14:paraId="658E017D" w14:textId="45331E5F" w:rsidTr="006456CC">
        <w:tc>
          <w:tcPr>
            <w:tcW w:w="7514" w:type="dxa"/>
          </w:tcPr>
          <w:p w14:paraId="642812DA" w14:textId="58498744" w:rsidR="00C07AB7" w:rsidRPr="007756A8" w:rsidRDefault="00C07AB7" w:rsidP="00AD23CA">
            <w:pPr>
              <w:spacing w:before="120"/>
              <w:rPr>
                <w:rFonts w:ascii="Times New Roman" w:hAnsi="Times New Roman" w:cs="Times New Roman"/>
                <w:sz w:val="24"/>
                <w:szCs w:val="24"/>
              </w:rPr>
            </w:pPr>
            <w:r w:rsidRPr="007756A8">
              <w:rPr>
                <w:rFonts w:ascii="Times New Roman" w:hAnsi="Times New Roman" w:cs="Times New Roman"/>
                <w:noProof/>
                <w:sz w:val="24"/>
                <w:szCs w:val="24"/>
              </w:rPr>
              <w:t>2.6 Does the proposal</w:t>
            </w:r>
            <w:r w:rsidR="00E619A4">
              <w:rPr>
                <w:rFonts w:ascii="Times New Roman" w:hAnsi="Times New Roman" w:cs="Times New Roman"/>
                <w:noProof/>
                <w:sz w:val="24"/>
                <w:szCs w:val="24"/>
              </w:rPr>
              <w:t>/concept note</w:t>
            </w:r>
            <w:r w:rsidRPr="007756A8">
              <w:rPr>
                <w:rFonts w:ascii="Times New Roman" w:hAnsi="Times New Roman" w:cs="Times New Roman"/>
                <w:noProof/>
                <w:sz w:val="24"/>
                <w:szCs w:val="24"/>
              </w:rPr>
              <w:t xml:space="preserve"> contain particular added-value elements (e.g. innovation, best practices) ? </w:t>
            </w:r>
            <w:r>
              <w:rPr>
                <w:rFonts w:ascii="Times New Roman" w:hAnsi="Times New Roman" w:cs="Times New Roman"/>
                <w:noProof/>
                <w:sz w:val="24"/>
                <w:szCs w:val="24"/>
              </w:rPr>
              <w:t>Does the proposal</w:t>
            </w:r>
            <w:r w:rsidR="00E619A4">
              <w:rPr>
                <w:rFonts w:ascii="Times New Roman" w:hAnsi="Times New Roman" w:cs="Times New Roman"/>
                <w:noProof/>
                <w:sz w:val="24"/>
                <w:szCs w:val="24"/>
              </w:rPr>
              <w:t>/concept note</w:t>
            </w:r>
            <w:r>
              <w:rPr>
                <w:rFonts w:ascii="Times New Roman" w:hAnsi="Times New Roman" w:cs="Times New Roman"/>
                <w:noProof/>
                <w:sz w:val="24"/>
                <w:szCs w:val="24"/>
              </w:rPr>
              <w:t xml:space="preserve"> contain sufficient visibility mechanisms to highlight the funding provided by RISE and the EU? </w:t>
            </w:r>
          </w:p>
        </w:tc>
        <w:tc>
          <w:tcPr>
            <w:tcW w:w="1559" w:type="dxa"/>
          </w:tcPr>
          <w:p w14:paraId="70681F84" w14:textId="77777777" w:rsidR="00C07AB7" w:rsidRPr="007756A8" w:rsidRDefault="00C07AB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5520FBE6" w14:textId="274C0CE0" w:rsidR="00C07AB7" w:rsidRPr="007756A8" w:rsidRDefault="005C502C" w:rsidP="00AD23CA">
            <w:pPr>
              <w:spacing w:before="120"/>
              <w:jc w:val="center"/>
              <w:rPr>
                <w:rFonts w:ascii="Times New Roman" w:hAnsi="Times New Roman" w:cs="Times New Roman"/>
                <w:sz w:val="24"/>
                <w:szCs w:val="24"/>
              </w:rPr>
            </w:pPr>
            <w:r>
              <w:rPr>
                <w:rFonts w:ascii="Times New Roman" w:hAnsi="Times New Roman" w:cs="Times New Roman"/>
                <w:sz w:val="24"/>
                <w:szCs w:val="24"/>
              </w:rPr>
              <w:t>5</w:t>
            </w:r>
          </w:p>
        </w:tc>
      </w:tr>
      <w:tr w:rsidR="00C07AB7" w:rsidRPr="007756A8" w14:paraId="0FBB1D02" w14:textId="675C9837" w:rsidTr="006456CC">
        <w:tc>
          <w:tcPr>
            <w:tcW w:w="7514" w:type="dxa"/>
            <w:shd w:val="pct10" w:color="auto" w:fill="FFFFFF"/>
            <w:vAlign w:val="center"/>
          </w:tcPr>
          <w:p w14:paraId="13DC000A" w14:textId="77777777" w:rsidR="00C07AB7" w:rsidRPr="007756A8" w:rsidRDefault="00C07AB7" w:rsidP="00AD23CA">
            <w:pPr>
              <w:spacing w:before="120"/>
              <w:rPr>
                <w:rFonts w:ascii="Times New Roman" w:hAnsi="Times New Roman" w:cs="Times New Roman"/>
                <w:sz w:val="24"/>
                <w:szCs w:val="24"/>
              </w:rPr>
            </w:pPr>
            <w:r w:rsidRPr="007756A8">
              <w:rPr>
                <w:rFonts w:ascii="Times New Roman" w:hAnsi="Times New Roman" w:cs="Times New Roman"/>
                <w:sz w:val="24"/>
                <w:szCs w:val="24"/>
              </w:rPr>
              <w:br w:type="page"/>
            </w:r>
            <w:r w:rsidRPr="007756A8">
              <w:rPr>
                <w:rFonts w:ascii="Times New Roman" w:hAnsi="Times New Roman" w:cs="Times New Roman"/>
                <w:b/>
                <w:sz w:val="24"/>
                <w:szCs w:val="24"/>
              </w:rPr>
              <w:t xml:space="preserve">3. Sustainability of the action </w:t>
            </w:r>
          </w:p>
        </w:tc>
        <w:tc>
          <w:tcPr>
            <w:tcW w:w="1559" w:type="dxa"/>
            <w:shd w:val="pct10" w:color="auto" w:fill="FFFFFF"/>
            <w:vAlign w:val="center"/>
          </w:tcPr>
          <w:p w14:paraId="79FA3B1F" w14:textId="4645CE45" w:rsidR="00C07AB7" w:rsidRPr="007756A8" w:rsidRDefault="00C07AB7"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20</w:t>
            </w:r>
          </w:p>
        </w:tc>
        <w:tc>
          <w:tcPr>
            <w:tcW w:w="1701" w:type="dxa"/>
            <w:shd w:val="pct10" w:color="auto" w:fill="FFFFFF"/>
          </w:tcPr>
          <w:p w14:paraId="66485DE7" w14:textId="24068559" w:rsidR="00C07AB7" w:rsidRPr="007756A8" w:rsidRDefault="00CC6F2C" w:rsidP="00AD23CA">
            <w:pPr>
              <w:spacing w:before="120"/>
              <w:jc w:val="center"/>
              <w:rPr>
                <w:rFonts w:ascii="Times New Roman" w:hAnsi="Times New Roman" w:cs="Times New Roman"/>
                <w:b/>
                <w:sz w:val="24"/>
                <w:szCs w:val="24"/>
              </w:rPr>
            </w:pPr>
            <w:r>
              <w:rPr>
                <w:rFonts w:ascii="Times New Roman" w:hAnsi="Times New Roman" w:cs="Times New Roman"/>
                <w:b/>
                <w:sz w:val="24"/>
                <w:szCs w:val="24"/>
              </w:rPr>
              <w:t>15</w:t>
            </w:r>
          </w:p>
        </w:tc>
      </w:tr>
      <w:tr w:rsidR="00C07AB7" w:rsidRPr="007756A8" w14:paraId="2528BAEF" w14:textId="6213C0D2" w:rsidTr="006456CC">
        <w:tc>
          <w:tcPr>
            <w:tcW w:w="7514" w:type="dxa"/>
          </w:tcPr>
          <w:p w14:paraId="18549C3D" w14:textId="77777777"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3.1 Is the action likely to have a tangible impact on its target groups?</w:t>
            </w:r>
          </w:p>
        </w:tc>
        <w:tc>
          <w:tcPr>
            <w:tcW w:w="1559" w:type="dxa"/>
          </w:tcPr>
          <w:p w14:paraId="00FA80B8" w14:textId="77777777" w:rsidR="00C07AB7" w:rsidRPr="007756A8" w:rsidRDefault="00C07AB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2AD92C04" w14:textId="29366CDE" w:rsidR="00C07AB7" w:rsidRPr="007756A8" w:rsidRDefault="00CC6F2C" w:rsidP="00AD23CA">
            <w:pPr>
              <w:spacing w:before="120"/>
              <w:jc w:val="center"/>
              <w:rPr>
                <w:rFonts w:ascii="Times New Roman" w:hAnsi="Times New Roman" w:cs="Times New Roman"/>
                <w:sz w:val="24"/>
                <w:szCs w:val="24"/>
              </w:rPr>
            </w:pPr>
            <w:r>
              <w:rPr>
                <w:rFonts w:ascii="Times New Roman" w:hAnsi="Times New Roman" w:cs="Times New Roman"/>
                <w:sz w:val="24"/>
                <w:szCs w:val="24"/>
              </w:rPr>
              <w:t>5</w:t>
            </w:r>
          </w:p>
        </w:tc>
      </w:tr>
      <w:tr w:rsidR="00C07AB7" w:rsidRPr="007756A8" w14:paraId="44E8C888" w14:textId="2A68D13F" w:rsidTr="006456CC">
        <w:tc>
          <w:tcPr>
            <w:tcW w:w="7514" w:type="dxa"/>
          </w:tcPr>
          <w:p w14:paraId="26981D1F" w14:textId="77777777"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3.2 Is the proposal likely to have multiplier effects? (Including scope for replication, extension and information sharing.)</w:t>
            </w:r>
          </w:p>
        </w:tc>
        <w:tc>
          <w:tcPr>
            <w:tcW w:w="1559" w:type="dxa"/>
          </w:tcPr>
          <w:p w14:paraId="34A1F961" w14:textId="77777777" w:rsidR="00C07AB7" w:rsidRPr="007756A8" w:rsidRDefault="00C07AB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c>
          <w:tcPr>
            <w:tcW w:w="1701" w:type="dxa"/>
          </w:tcPr>
          <w:p w14:paraId="123034BB" w14:textId="27FB49B5" w:rsidR="00C07AB7" w:rsidRPr="007756A8" w:rsidRDefault="00CC6F2C" w:rsidP="00AD23CA">
            <w:pPr>
              <w:spacing w:before="120"/>
              <w:jc w:val="center"/>
              <w:rPr>
                <w:rFonts w:ascii="Times New Roman" w:hAnsi="Times New Roman" w:cs="Times New Roman"/>
                <w:sz w:val="24"/>
                <w:szCs w:val="24"/>
              </w:rPr>
            </w:pPr>
            <w:r>
              <w:rPr>
                <w:rFonts w:ascii="Times New Roman" w:hAnsi="Times New Roman" w:cs="Times New Roman"/>
                <w:sz w:val="24"/>
                <w:szCs w:val="24"/>
              </w:rPr>
              <w:t>5</w:t>
            </w:r>
          </w:p>
        </w:tc>
      </w:tr>
      <w:tr w:rsidR="00C07AB7" w:rsidRPr="007756A8" w14:paraId="26B68AF5" w14:textId="7F091A1E" w:rsidTr="006456CC">
        <w:tc>
          <w:tcPr>
            <w:tcW w:w="7514" w:type="dxa"/>
          </w:tcPr>
          <w:p w14:paraId="3161D3C6" w14:textId="77777777" w:rsidR="00C07AB7" w:rsidRPr="007756A8" w:rsidRDefault="00C07AB7" w:rsidP="00AD23CA">
            <w:pPr>
              <w:spacing w:before="120"/>
              <w:rPr>
                <w:rFonts w:ascii="Times New Roman" w:hAnsi="Times New Roman" w:cs="Times New Roman"/>
                <w:sz w:val="24"/>
                <w:szCs w:val="24"/>
              </w:rPr>
            </w:pPr>
            <w:r w:rsidRPr="007756A8">
              <w:rPr>
                <w:rFonts w:ascii="Times New Roman" w:hAnsi="Times New Roman" w:cs="Times New Roman"/>
                <w:sz w:val="24"/>
                <w:szCs w:val="24"/>
              </w:rPr>
              <w:t>3.3 Are the expected results of the proposed action sustainable?:</w:t>
            </w:r>
          </w:p>
          <w:p w14:paraId="1106244E" w14:textId="77777777" w:rsidR="00C07AB7" w:rsidRPr="007756A8" w:rsidRDefault="00C07AB7" w:rsidP="00AD23CA">
            <w:pPr>
              <w:spacing w:before="120"/>
              <w:ind w:left="510" w:hanging="170"/>
              <w:rPr>
                <w:rFonts w:ascii="Times New Roman" w:hAnsi="Times New Roman" w:cs="Times New Roman"/>
                <w:sz w:val="24"/>
                <w:szCs w:val="24"/>
              </w:rPr>
            </w:pPr>
            <w:r w:rsidRPr="007756A8">
              <w:rPr>
                <w:rFonts w:ascii="Times New Roman" w:hAnsi="Times New Roman" w:cs="Times New Roman"/>
                <w:sz w:val="24"/>
                <w:szCs w:val="24"/>
              </w:rPr>
              <w:t xml:space="preserve">- financially </w:t>
            </w:r>
            <w:r w:rsidRPr="007756A8">
              <w:rPr>
                <w:rFonts w:ascii="Times New Roman" w:hAnsi="Times New Roman" w:cs="Times New Roman"/>
                <w:i/>
                <w:sz w:val="24"/>
                <w:szCs w:val="24"/>
              </w:rPr>
              <w:t>(how will the activities be financed after the funding ends?)</w:t>
            </w:r>
          </w:p>
          <w:p w14:paraId="33AB81DA" w14:textId="77777777" w:rsidR="00C07AB7" w:rsidRPr="007756A8" w:rsidRDefault="00C07AB7" w:rsidP="00AD23CA">
            <w:pPr>
              <w:spacing w:before="120"/>
              <w:ind w:left="510" w:hanging="170"/>
              <w:rPr>
                <w:rFonts w:ascii="Times New Roman" w:hAnsi="Times New Roman" w:cs="Times New Roman"/>
                <w:sz w:val="24"/>
                <w:szCs w:val="24"/>
              </w:rPr>
            </w:pPr>
            <w:r w:rsidRPr="007756A8">
              <w:rPr>
                <w:rFonts w:ascii="Times New Roman" w:hAnsi="Times New Roman" w:cs="Times New Roman"/>
                <w:sz w:val="24"/>
                <w:szCs w:val="24"/>
              </w:rPr>
              <w:t xml:space="preserve">- institutionally </w:t>
            </w:r>
            <w:r w:rsidRPr="007756A8">
              <w:rPr>
                <w:rFonts w:ascii="Times New Roman" w:hAnsi="Times New Roman" w:cs="Times New Roman"/>
                <w:i/>
                <w:sz w:val="24"/>
                <w:szCs w:val="24"/>
              </w:rPr>
              <w:t>(will structures allowing the activities to continue be in place at the end of the action? Will there be local ‘ownership’ of the results of the action?)</w:t>
            </w:r>
          </w:p>
          <w:p w14:paraId="55A166E7" w14:textId="77777777" w:rsidR="00C07AB7" w:rsidRPr="007756A8" w:rsidRDefault="00C07AB7" w:rsidP="00AD23CA">
            <w:pPr>
              <w:spacing w:before="120"/>
              <w:ind w:left="510" w:hanging="170"/>
              <w:rPr>
                <w:rFonts w:ascii="Times New Roman" w:hAnsi="Times New Roman" w:cs="Times New Roman"/>
                <w:iCs/>
                <w:sz w:val="24"/>
                <w:szCs w:val="24"/>
              </w:rPr>
            </w:pPr>
            <w:r w:rsidRPr="007756A8">
              <w:rPr>
                <w:rFonts w:ascii="Times New Roman" w:hAnsi="Times New Roman" w:cs="Times New Roman"/>
                <w:sz w:val="24"/>
                <w:szCs w:val="24"/>
              </w:rPr>
              <w:t xml:space="preserve">- at policy level (where applicable) </w:t>
            </w:r>
            <w:r w:rsidRPr="007756A8">
              <w:rPr>
                <w:rFonts w:ascii="Times New Roman" w:hAnsi="Times New Roman" w:cs="Times New Roman"/>
                <w:i/>
                <w:sz w:val="24"/>
                <w:szCs w:val="24"/>
              </w:rPr>
              <w:t>(what will be the structural impact of the action — e.g. will it lead to improved legislation, codes of conduct, methods, etc?)</w:t>
            </w:r>
          </w:p>
          <w:p w14:paraId="2BF59C89" w14:textId="77777777" w:rsidR="00C07AB7" w:rsidRPr="007756A8" w:rsidRDefault="00C07AB7" w:rsidP="00AD23CA">
            <w:pPr>
              <w:spacing w:before="120"/>
              <w:ind w:left="510" w:hanging="170"/>
              <w:rPr>
                <w:rFonts w:ascii="Times New Roman" w:hAnsi="Times New Roman" w:cs="Times New Roman"/>
                <w:sz w:val="24"/>
                <w:szCs w:val="24"/>
              </w:rPr>
            </w:pPr>
            <w:r w:rsidRPr="007756A8">
              <w:rPr>
                <w:rFonts w:ascii="Times New Roman" w:hAnsi="Times New Roman" w:cs="Times New Roman"/>
                <w:iCs/>
                <w:sz w:val="24"/>
                <w:szCs w:val="24"/>
              </w:rPr>
              <w:lastRenderedPageBreak/>
              <w:t xml:space="preserve">- environmentally (if applicable) </w:t>
            </w:r>
            <w:r w:rsidRPr="007756A8">
              <w:rPr>
                <w:rFonts w:ascii="Times New Roman" w:hAnsi="Times New Roman" w:cs="Times New Roman"/>
                <w:i/>
                <w:sz w:val="24"/>
                <w:szCs w:val="24"/>
              </w:rPr>
              <w:t>(will the action have a negative/positive environmental impact?)</w:t>
            </w:r>
          </w:p>
        </w:tc>
        <w:tc>
          <w:tcPr>
            <w:tcW w:w="1559" w:type="dxa"/>
          </w:tcPr>
          <w:p w14:paraId="08830DD6" w14:textId="57F460EE" w:rsidR="00C07AB7" w:rsidRPr="007756A8" w:rsidRDefault="00C16BAD" w:rsidP="00AD23CA">
            <w:pPr>
              <w:spacing w:before="12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01" w:type="dxa"/>
          </w:tcPr>
          <w:p w14:paraId="1B3BFCCB" w14:textId="6E475C0C" w:rsidR="00C07AB7" w:rsidRPr="007756A8" w:rsidRDefault="00CC6F2C" w:rsidP="00AD23CA">
            <w:pPr>
              <w:spacing w:before="120"/>
              <w:jc w:val="center"/>
              <w:rPr>
                <w:rFonts w:ascii="Times New Roman" w:hAnsi="Times New Roman" w:cs="Times New Roman"/>
                <w:sz w:val="24"/>
                <w:szCs w:val="24"/>
              </w:rPr>
            </w:pPr>
            <w:r>
              <w:rPr>
                <w:rFonts w:ascii="Times New Roman" w:hAnsi="Times New Roman" w:cs="Times New Roman"/>
                <w:sz w:val="24"/>
                <w:szCs w:val="24"/>
              </w:rPr>
              <w:t>5</w:t>
            </w:r>
          </w:p>
        </w:tc>
      </w:tr>
      <w:tr w:rsidR="00C07AB7" w:rsidRPr="007756A8" w14:paraId="032EB52B" w14:textId="13EA8AA2" w:rsidTr="006456CC">
        <w:tc>
          <w:tcPr>
            <w:tcW w:w="7514" w:type="dxa"/>
            <w:shd w:val="pct10" w:color="auto" w:fill="FFFFFF"/>
            <w:vAlign w:val="center"/>
          </w:tcPr>
          <w:p w14:paraId="43FDA608" w14:textId="77777777" w:rsidR="00C07AB7" w:rsidRPr="007756A8" w:rsidRDefault="00C07AB7" w:rsidP="00AD23CA">
            <w:pPr>
              <w:spacing w:before="120"/>
              <w:rPr>
                <w:rFonts w:ascii="Times New Roman" w:hAnsi="Times New Roman" w:cs="Times New Roman"/>
                <w:sz w:val="24"/>
                <w:szCs w:val="24"/>
              </w:rPr>
            </w:pPr>
            <w:r w:rsidRPr="007756A8">
              <w:rPr>
                <w:rFonts w:ascii="Times New Roman" w:hAnsi="Times New Roman" w:cs="Times New Roman"/>
                <w:sz w:val="24"/>
                <w:szCs w:val="24"/>
              </w:rPr>
              <w:br w:type="page"/>
            </w:r>
            <w:r w:rsidRPr="007756A8">
              <w:rPr>
                <w:rFonts w:ascii="Times New Roman" w:hAnsi="Times New Roman" w:cs="Times New Roman"/>
                <w:b/>
                <w:sz w:val="24"/>
                <w:szCs w:val="24"/>
              </w:rPr>
              <w:t>4. Budget and cost-effectiveness of the action</w:t>
            </w:r>
          </w:p>
        </w:tc>
        <w:tc>
          <w:tcPr>
            <w:tcW w:w="1559" w:type="dxa"/>
            <w:shd w:val="pct10" w:color="auto" w:fill="FFFFFF"/>
            <w:vAlign w:val="center"/>
          </w:tcPr>
          <w:p w14:paraId="74D75041" w14:textId="77777777" w:rsidR="00C07AB7" w:rsidRPr="007756A8" w:rsidRDefault="00C07AB7"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15</w:t>
            </w:r>
          </w:p>
        </w:tc>
        <w:tc>
          <w:tcPr>
            <w:tcW w:w="1701" w:type="dxa"/>
            <w:shd w:val="pct10" w:color="auto" w:fill="FFFFFF"/>
          </w:tcPr>
          <w:p w14:paraId="27D528B1" w14:textId="5F57E6F6" w:rsidR="00C07AB7" w:rsidRPr="007756A8" w:rsidRDefault="00CC6F2C" w:rsidP="00AD23CA">
            <w:pPr>
              <w:spacing w:before="120"/>
              <w:jc w:val="center"/>
              <w:rPr>
                <w:rFonts w:ascii="Times New Roman" w:hAnsi="Times New Roman" w:cs="Times New Roman"/>
                <w:b/>
                <w:sz w:val="24"/>
                <w:szCs w:val="24"/>
              </w:rPr>
            </w:pPr>
            <w:r>
              <w:rPr>
                <w:rFonts w:ascii="Times New Roman" w:hAnsi="Times New Roman" w:cs="Times New Roman"/>
                <w:b/>
                <w:sz w:val="24"/>
                <w:szCs w:val="24"/>
              </w:rPr>
              <w:t>N/A</w:t>
            </w:r>
          </w:p>
        </w:tc>
      </w:tr>
      <w:tr w:rsidR="00C07AB7" w:rsidRPr="007756A8" w14:paraId="059F60C3" w14:textId="04E41AB3" w:rsidTr="006456CC">
        <w:tc>
          <w:tcPr>
            <w:tcW w:w="7514" w:type="dxa"/>
          </w:tcPr>
          <w:p w14:paraId="31E8E74C" w14:textId="77777777"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4.1 Are the activities appropriately reflected in the budget?</w:t>
            </w:r>
          </w:p>
        </w:tc>
        <w:tc>
          <w:tcPr>
            <w:tcW w:w="1559" w:type="dxa"/>
          </w:tcPr>
          <w:p w14:paraId="4EFE1CB0" w14:textId="38B02E95" w:rsidR="00C07AB7" w:rsidRPr="007756A8" w:rsidRDefault="00C07AB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 xml:space="preserve"> 5</w:t>
            </w:r>
          </w:p>
        </w:tc>
        <w:tc>
          <w:tcPr>
            <w:tcW w:w="1701" w:type="dxa"/>
          </w:tcPr>
          <w:p w14:paraId="3DE10B29" w14:textId="77777777" w:rsidR="00C07AB7" w:rsidRPr="007756A8" w:rsidRDefault="00C07AB7" w:rsidP="00AD23CA">
            <w:pPr>
              <w:spacing w:before="120"/>
              <w:jc w:val="center"/>
              <w:rPr>
                <w:rFonts w:ascii="Times New Roman" w:hAnsi="Times New Roman" w:cs="Times New Roman"/>
                <w:sz w:val="24"/>
                <w:szCs w:val="24"/>
              </w:rPr>
            </w:pPr>
          </w:p>
        </w:tc>
      </w:tr>
      <w:tr w:rsidR="00C07AB7" w:rsidRPr="007756A8" w14:paraId="53D9B2E7" w14:textId="6143E0C2" w:rsidTr="006456CC">
        <w:tc>
          <w:tcPr>
            <w:tcW w:w="7514" w:type="dxa"/>
          </w:tcPr>
          <w:p w14:paraId="4E4FBDA1" w14:textId="77777777" w:rsidR="00C07AB7" w:rsidRPr="007756A8" w:rsidRDefault="00C07AB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4.2 Is the ratio between the estimated costs and the expected results satisfactory?</w:t>
            </w:r>
          </w:p>
        </w:tc>
        <w:tc>
          <w:tcPr>
            <w:tcW w:w="1559" w:type="dxa"/>
          </w:tcPr>
          <w:p w14:paraId="642AAA72" w14:textId="65961A9F" w:rsidR="00C07AB7" w:rsidRPr="007756A8" w:rsidRDefault="00C16BAD" w:rsidP="00AD23CA">
            <w:pPr>
              <w:spacing w:before="120"/>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14:paraId="041251A4" w14:textId="77777777" w:rsidR="00C07AB7" w:rsidRPr="007756A8" w:rsidRDefault="00C07AB7" w:rsidP="00AD23CA">
            <w:pPr>
              <w:spacing w:before="120"/>
              <w:jc w:val="center"/>
              <w:rPr>
                <w:rFonts w:ascii="Times New Roman" w:hAnsi="Times New Roman" w:cs="Times New Roman"/>
                <w:sz w:val="24"/>
                <w:szCs w:val="24"/>
              </w:rPr>
            </w:pPr>
          </w:p>
        </w:tc>
      </w:tr>
      <w:tr w:rsidR="00C07AB7" w:rsidRPr="007756A8" w14:paraId="790A5E54" w14:textId="53153F94" w:rsidTr="006456CC">
        <w:tc>
          <w:tcPr>
            <w:tcW w:w="7514" w:type="dxa"/>
            <w:shd w:val="pct10" w:color="auto" w:fill="FFFFFF"/>
            <w:vAlign w:val="center"/>
          </w:tcPr>
          <w:p w14:paraId="61B11970" w14:textId="77777777" w:rsidR="00C07AB7" w:rsidRPr="007756A8" w:rsidRDefault="00C07AB7"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Maximum total score</w:t>
            </w:r>
          </w:p>
        </w:tc>
        <w:tc>
          <w:tcPr>
            <w:tcW w:w="1559" w:type="dxa"/>
            <w:shd w:val="pct10" w:color="auto" w:fill="FFFFFF"/>
            <w:vAlign w:val="center"/>
          </w:tcPr>
          <w:p w14:paraId="6229CF80" w14:textId="3EF66BE1" w:rsidR="00C07AB7" w:rsidRPr="007756A8" w:rsidRDefault="00C07AB7"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100</w:t>
            </w:r>
          </w:p>
        </w:tc>
        <w:tc>
          <w:tcPr>
            <w:tcW w:w="1701" w:type="dxa"/>
            <w:shd w:val="pct10" w:color="auto" w:fill="FFFFFF"/>
          </w:tcPr>
          <w:p w14:paraId="7134EF06" w14:textId="42046704" w:rsidR="00C07AB7" w:rsidRPr="007756A8" w:rsidRDefault="00432750" w:rsidP="00AD23CA">
            <w:pPr>
              <w:spacing w:before="120"/>
              <w:jc w:val="center"/>
              <w:rPr>
                <w:rFonts w:ascii="Times New Roman" w:hAnsi="Times New Roman" w:cs="Times New Roman"/>
                <w:b/>
                <w:sz w:val="24"/>
                <w:szCs w:val="24"/>
              </w:rPr>
            </w:pPr>
            <w:r>
              <w:rPr>
                <w:rFonts w:ascii="Times New Roman" w:hAnsi="Times New Roman" w:cs="Times New Roman"/>
                <w:b/>
                <w:sz w:val="24"/>
                <w:szCs w:val="24"/>
              </w:rPr>
              <w:t>50</w:t>
            </w:r>
          </w:p>
        </w:tc>
      </w:tr>
    </w:tbl>
    <w:p w14:paraId="10088A33" w14:textId="12F0DB3C" w:rsidR="0058032B" w:rsidRPr="007756A8" w:rsidRDefault="0058032B" w:rsidP="0058032B">
      <w:pPr>
        <w:rPr>
          <w:rFonts w:ascii="Times New Roman" w:hAnsi="Times New Roman" w:cs="Times New Roman"/>
          <w:i/>
          <w:sz w:val="24"/>
          <w:szCs w:val="24"/>
        </w:rPr>
      </w:pPr>
      <w:r w:rsidRPr="007756A8">
        <w:rPr>
          <w:rFonts w:ascii="Times New Roman" w:hAnsi="Times New Roman" w:cs="Times New Roman"/>
          <w:i/>
          <w:sz w:val="24"/>
          <w:szCs w:val="24"/>
        </w:rPr>
        <w:t>Note on section 1. Financial and operational capacity</w:t>
      </w:r>
      <w:r w:rsidR="00394F84" w:rsidRPr="007756A8">
        <w:rPr>
          <w:rFonts w:ascii="Times New Roman" w:hAnsi="Times New Roman" w:cs="Times New Roman"/>
          <w:i/>
          <w:sz w:val="24"/>
          <w:szCs w:val="24"/>
        </w:rPr>
        <w:br/>
      </w:r>
      <w:r w:rsidR="00432750">
        <w:rPr>
          <w:rFonts w:ascii="Times New Roman" w:hAnsi="Times New Roman" w:cs="Times New Roman"/>
          <w:sz w:val="24"/>
          <w:szCs w:val="24"/>
        </w:rPr>
        <w:t>For Lot 1 – Actions focusing on Gender Equality, i</w:t>
      </w:r>
      <w:r w:rsidRPr="007756A8">
        <w:rPr>
          <w:rFonts w:ascii="Times New Roman" w:hAnsi="Times New Roman" w:cs="Times New Roman"/>
          <w:sz w:val="24"/>
          <w:szCs w:val="24"/>
        </w:rPr>
        <w:t>f the total score for section 1 is less than 12 points, the application will be rejected. If the score for at least one of the subsections under section 1 is 1, the application will also be rejected.</w:t>
      </w:r>
    </w:p>
    <w:p w14:paraId="32AA8ADD" w14:textId="77777777"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b/>
          <w:sz w:val="24"/>
          <w:szCs w:val="24"/>
        </w:rPr>
        <w:t>Notification of the Contracting Authority’s Decision</w:t>
      </w:r>
      <w:r w:rsidRPr="007756A8">
        <w:rPr>
          <w:rFonts w:ascii="Times New Roman" w:hAnsi="Times New Roman" w:cs="Times New Roman"/>
          <w:sz w:val="24"/>
          <w:szCs w:val="24"/>
        </w:rPr>
        <w:br/>
        <w:t>The applicants will be informed in writing of the Contracting Authority’s decision concerning their application and, if rejected, the reason for the negative decision.</w:t>
      </w:r>
    </w:p>
    <w:p w14:paraId="539E0CF0" w14:textId="77777777" w:rsidR="00623038" w:rsidRPr="007756A8" w:rsidRDefault="00623038" w:rsidP="00623038">
      <w:pPr>
        <w:rPr>
          <w:rFonts w:ascii="Times New Roman" w:hAnsi="Times New Roman" w:cs="Times New Roman"/>
          <w:b/>
          <w:sz w:val="24"/>
          <w:szCs w:val="24"/>
        </w:rPr>
      </w:pPr>
      <w:r w:rsidRPr="007756A8">
        <w:rPr>
          <w:rFonts w:ascii="Times New Roman" w:hAnsi="Times New Roman" w:cs="Times New Roman"/>
          <w:b/>
          <w:sz w:val="24"/>
          <w:szCs w:val="24"/>
        </w:rPr>
        <w:t>Indicative Timetable</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843"/>
        <w:gridCol w:w="2197"/>
      </w:tblGrid>
      <w:tr w:rsidR="00623038" w:rsidRPr="007756A8" w14:paraId="465951C0" w14:textId="77777777" w:rsidTr="001C3A0D">
        <w:tc>
          <w:tcPr>
            <w:tcW w:w="4590" w:type="dxa"/>
            <w:tcBorders>
              <w:bottom w:val="nil"/>
            </w:tcBorders>
          </w:tcPr>
          <w:p w14:paraId="7163260E" w14:textId="77777777" w:rsidR="00623038" w:rsidRPr="007756A8" w:rsidRDefault="00623038" w:rsidP="00AD23CA">
            <w:pPr>
              <w:spacing w:before="120"/>
              <w:rPr>
                <w:rFonts w:ascii="Times New Roman" w:hAnsi="Times New Roman" w:cs="Times New Roman"/>
                <w:sz w:val="24"/>
                <w:szCs w:val="24"/>
              </w:rPr>
            </w:pPr>
          </w:p>
        </w:tc>
        <w:tc>
          <w:tcPr>
            <w:tcW w:w="2843" w:type="dxa"/>
            <w:shd w:val="pct10" w:color="auto" w:fill="FFFFFF"/>
          </w:tcPr>
          <w:p w14:paraId="03B7E33F" w14:textId="77777777" w:rsidR="00623038" w:rsidRPr="007756A8" w:rsidRDefault="00623038"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DATE</w:t>
            </w:r>
          </w:p>
        </w:tc>
        <w:tc>
          <w:tcPr>
            <w:tcW w:w="2197" w:type="dxa"/>
            <w:tcBorders>
              <w:bottom w:val="nil"/>
            </w:tcBorders>
            <w:shd w:val="pct10" w:color="auto" w:fill="FFFFFF"/>
          </w:tcPr>
          <w:p w14:paraId="40959A9D" w14:textId="77777777" w:rsidR="00623038" w:rsidRPr="007756A8" w:rsidRDefault="00623038"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TIME*</w:t>
            </w:r>
          </w:p>
        </w:tc>
      </w:tr>
      <w:tr w:rsidR="00623038" w:rsidRPr="007756A8" w14:paraId="683238C7" w14:textId="77777777" w:rsidTr="001C3A0D">
        <w:tc>
          <w:tcPr>
            <w:tcW w:w="4590" w:type="dxa"/>
            <w:shd w:val="pct10" w:color="auto" w:fill="FFFFFF"/>
          </w:tcPr>
          <w:p w14:paraId="6BA20EFC" w14:textId="77777777"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Information Session</w:t>
            </w:r>
          </w:p>
        </w:tc>
        <w:tc>
          <w:tcPr>
            <w:tcW w:w="2843" w:type="dxa"/>
          </w:tcPr>
          <w:p w14:paraId="4325CA64" w14:textId="36E1BD33" w:rsidR="00623038" w:rsidRPr="007756A8" w:rsidRDefault="00A156D2" w:rsidP="00AD23CA">
            <w:pPr>
              <w:spacing w:before="120"/>
              <w:jc w:val="center"/>
              <w:rPr>
                <w:rFonts w:ascii="Times New Roman" w:hAnsi="Times New Roman" w:cs="Times New Roman"/>
                <w:sz w:val="24"/>
                <w:szCs w:val="24"/>
              </w:rPr>
            </w:pPr>
            <w:r>
              <w:rPr>
                <w:rFonts w:ascii="Times New Roman" w:hAnsi="Times New Roman" w:cs="Times New Roman"/>
                <w:sz w:val="24"/>
                <w:szCs w:val="24"/>
              </w:rPr>
              <w:t>April</w:t>
            </w:r>
            <w:r w:rsidR="00623038" w:rsidRPr="007756A8">
              <w:rPr>
                <w:rFonts w:ascii="Times New Roman" w:hAnsi="Times New Roman" w:cs="Times New Roman"/>
                <w:sz w:val="24"/>
                <w:szCs w:val="24"/>
              </w:rPr>
              <w:t xml:space="preserve"> </w:t>
            </w:r>
            <w:r w:rsidR="00FF5217">
              <w:rPr>
                <w:rFonts w:ascii="Times New Roman" w:hAnsi="Times New Roman" w:cs="Times New Roman"/>
                <w:sz w:val="24"/>
                <w:szCs w:val="24"/>
              </w:rPr>
              <w:t>18</w:t>
            </w:r>
            <w:r w:rsidR="00E65ADA" w:rsidRPr="007756A8">
              <w:rPr>
                <w:rFonts w:ascii="Times New Roman" w:hAnsi="Times New Roman" w:cs="Times New Roman"/>
                <w:sz w:val="24"/>
                <w:szCs w:val="24"/>
              </w:rPr>
              <w:t>,</w:t>
            </w:r>
            <w:r w:rsidR="00623038" w:rsidRPr="007756A8">
              <w:rPr>
                <w:rFonts w:ascii="Times New Roman" w:hAnsi="Times New Roman" w:cs="Times New Roman"/>
                <w:sz w:val="24"/>
                <w:szCs w:val="24"/>
              </w:rPr>
              <w:t xml:space="preserve"> 20</w:t>
            </w:r>
            <w:r w:rsidR="00C2101C" w:rsidRPr="007756A8">
              <w:rPr>
                <w:rFonts w:ascii="Times New Roman" w:hAnsi="Times New Roman" w:cs="Times New Roman"/>
                <w:sz w:val="24"/>
                <w:szCs w:val="24"/>
              </w:rPr>
              <w:t>2</w:t>
            </w:r>
            <w:r>
              <w:rPr>
                <w:rFonts w:ascii="Times New Roman" w:hAnsi="Times New Roman" w:cs="Times New Roman"/>
                <w:sz w:val="24"/>
                <w:szCs w:val="24"/>
              </w:rPr>
              <w:t>4</w:t>
            </w:r>
          </w:p>
        </w:tc>
        <w:tc>
          <w:tcPr>
            <w:tcW w:w="2197" w:type="dxa"/>
          </w:tcPr>
          <w:p w14:paraId="1BD22716" w14:textId="3FE5366A"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10:</w:t>
            </w:r>
            <w:r w:rsidR="00C2101C" w:rsidRPr="007756A8">
              <w:rPr>
                <w:rFonts w:ascii="Times New Roman" w:hAnsi="Times New Roman" w:cs="Times New Roman"/>
                <w:sz w:val="24"/>
                <w:szCs w:val="24"/>
              </w:rPr>
              <w:t>3</w:t>
            </w:r>
            <w:r w:rsidRPr="007756A8">
              <w:rPr>
                <w:rFonts w:ascii="Times New Roman" w:hAnsi="Times New Roman" w:cs="Times New Roman"/>
                <w:sz w:val="24"/>
                <w:szCs w:val="24"/>
              </w:rPr>
              <w:t xml:space="preserve">0 </w:t>
            </w:r>
            <w:r w:rsidR="00FA453D" w:rsidRPr="007756A8">
              <w:rPr>
                <w:rFonts w:ascii="Times New Roman" w:hAnsi="Times New Roman" w:cs="Times New Roman"/>
                <w:sz w:val="24"/>
                <w:szCs w:val="24"/>
              </w:rPr>
              <w:t>– 1</w:t>
            </w:r>
            <w:r w:rsidR="00C2101C" w:rsidRPr="007756A8">
              <w:rPr>
                <w:rFonts w:ascii="Times New Roman" w:hAnsi="Times New Roman" w:cs="Times New Roman"/>
                <w:sz w:val="24"/>
                <w:szCs w:val="24"/>
              </w:rPr>
              <w:t>2</w:t>
            </w:r>
            <w:r w:rsidR="00FA453D" w:rsidRPr="007756A8">
              <w:rPr>
                <w:rFonts w:ascii="Times New Roman" w:hAnsi="Times New Roman" w:cs="Times New Roman"/>
                <w:sz w:val="24"/>
                <w:szCs w:val="24"/>
              </w:rPr>
              <w:t>:</w:t>
            </w:r>
            <w:r w:rsidR="00A156D2">
              <w:rPr>
                <w:rFonts w:ascii="Times New Roman" w:hAnsi="Times New Roman" w:cs="Times New Roman"/>
                <w:sz w:val="24"/>
                <w:szCs w:val="24"/>
              </w:rPr>
              <w:t>0</w:t>
            </w:r>
            <w:r w:rsidR="00FA453D" w:rsidRPr="007756A8">
              <w:rPr>
                <w:rFonts w:ascii="Times New Roman" w:hAnsi="Times New Roman" w:cs="Times New Roman"/>
                <w:sz w:val="24"/>
                <w:szCs w:val="24"/>
              </w:rPr>
              <w:t xml:space="preserve">0 </w:t>
            </w:r>
            <w:r w:rsidR="00C2101C" w:rsidRPr="007756A8">
              <w:rPr>
                <w:rFonts w:ascii="Times New Roman" w:hAnsi="Times New Roman" w:cs="Times New Roman"/>
                <w:sz w:val="24"/>
                <w:szCs w:val="24"/>
              </w:rPr>
              <w:t>p</w:t>
            </w:r>
            <w:r w:rsidRPr="007756A8">
              <w:rPr>
                <w:rFonts w:ascii="Times New Roman" w:hAnsi="Times New Roman" w:cs="Times New Roman"/>
                <w:sz w:val="24"/>
                <w:szCs w:val="24"/>
              </w:rPr>
              <w:t>.m</w:t>
            </w:r>
            <w:r w:rsidR="00E65ADA" w:rsidRPr="007756A8">
              <w:rPr>
                <w:rFonts w:ascii="Times New Roman" w:hAnsi="Times New Roman" w:cs="Times New Roman"/>
                <w:sz w:val="24"/>
                <w:szCs w:val="24"/>
              </w:rPr>
              <w:t>.</w:t>
            </w:r>
          </w:p>
        </w:tc>
      </w:tr>
      <w:tr w:rsidR="00623038" w:rsidRPr="007756A8" w14:paraId="1D5FF239" w14:textId="77777777" w:rsidTr="001C3A0D">
        <w:tc>
          <w:tcPr>
            <w:tcW w:w="4590" w:type="dxa"/>
            <w:shd w:val="pct10" w:color="auto" w:fill="FFFFFF"/>
          </w:tcPr>
          <w:p w14:paraId="69B91690" w14:textId="185DD4AB"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 xml:space="preserve">Deadline for requesting any clarifications from </w:t>
            </w:r>
            <w:r w:rsidR="007B2CFF">
              <w:rPr>
                <w:rFonts w:ascii="Times New Roman" w:hAnsi="Times New Roman" w:cs="Times New Roman"/>
                <w:b/>
                <w:sz w:val="24"/>
                <w:szCs w:val="24"/>
              </w:rPr>
              <w:t>RISE Life Management Services</w:t>
            </w:r>
          </w:p>
        </w:tc>
        <w:tc>
          <w:tcPr>
            <w:tcW w:w="2843" w:type="dxa"/>
          </w:tcPr>
          <w:p w14:paraId="7CA37E35" w14:textId="3FAAEB73" w:rsidR="00623038" w:rsidRPr="007756A8" w:rsidRDefault="00FF5217" w:rsidP="00AD23CA">
            <w:pPr>
              <w:spacing w:before="120"/>
              <w:jc w:val="center"/>
              <w:rPr>
                <w:rFonts w:ascii="Times New Roman" w:hAnsi="Times New Roman" w:cs="Times New Roman"/>
                <w:sz w:val="24"/>
                <w:szCs w:val="24"/>
              </w:rPr>
            </w:pPr>
            <w:r>
              <w:rPr>
                <w:rFonts w:ascii="Times New Roman" w:hAnsi="Times New Roman" w:cs="Times New Roman"/>
                <w:sz w:val="24"/>
                <w:szCs w:val="24"/>
              </w:rPr>
              <w:t>May 10</w:t>
            </w:r>
            <w:r w:rsidR="00A156D2">
              <w:rPr>
                <w:rFonts w:ascii="Times New Roman" w:hAnsi="Times New Roman" w:cs="Times New Roman"/>
                <w:sz w:val="24"/>
                <w:szCs w:val="24"/>
              </w:rPr>
              <w:t>,</w:t>
            </w:r>
            <w:r w:rsidR="00C2101C" w:rsidRPr="007756A8">
              <w:rPr>
                <w:rFonts w:ascii="Times New Roman" w:hAnsi="Times New Roman" w:cs="Times New Roman"/>
                <w:sz w:val="24"/>
                <w:szCs w:val="24"/>
              </w:rPr>
              <w:t xml:space="preserve"> </w:t>
            </w:r>
            <w:r w:rsidR="00623038" w:rsidRPr="007756A8">
              <w:rPr>
                <w:rFonts w:ascii="Times New Roman" w:hAnsi="Times New Roman" w:cs="Times New Roman"/>
                <w:sz w:val="24"/>
                <w:szCs w:val="24"/>
              </w:rPr>
              <w:t>20</w:t>
            </w:r>
            <w:r w:rsidR="00C2101C" w:rsidRPr="007756A8">
              <w:rPr>
                <w:rFonts w:ascii="Times New Roman" w:hAnsi="Times New Roman" w:cs="Times New Roman"/>
                <w:sz w:val="24"/>
                <w:szCs w:val="24"/>
              </w:rPr>
              <w:t>2</w:t>
            </w:r>
            <w:r w:rsidR="00A156D2">
              <w:rPr>
                <w:rFonts w:ascii="Times New Roman" w:hAnsi="Times New Roman" w:cs="Times New Roman"/>
                <w:sz w:val="24"/>
                <w:szCs w:val="24"/>
              </w:rPr>
              <w:t>4</w:t>
            </w:r>
          </w:p>
        </w:tc>
        <w:tc>
          <w:tcPr>
            <w:tcW w:w="2197" w:type="dxa"/>
          </w:tcPr>
          <w:p w14:paraId="272DA6AD"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w:t>
            </w:r>
          </w:p>
        </w:tc>
      </w:tr>
      <w:tr w:rsidR="00623038" w:rsidRPr="007756A8" w14:paraId="491504A6" w14:textId="77777777" w:rsidTr="001C3A0D">
        <w:tc>
          <w:tcPr>
            <w:tcW w:w="4590" w:type="dxa"/>
            <w:shd w:val="pct10" w:color="auto" w:fill="FFFFFF"/>
          </w:tcPr>
          <w:p w14:paraId="04DC311A" w14:textId="3D1288ED"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 xml:space="preserve">Last date on which clarifications are issued by </w:t>
            </w:r>
            <w:r w:rsidR="007B2CFF">
              <w:rPr>
                <w:rFonts w:ascii="Times New Roman" w:hAnsi="Times New Roman" w:cs="Times New Roman"/>
                <w:b/>
                <w:sz w:val="24"/>
                <w:szCs w:val="24"/>
              </w:rPr>
              <w:t>RISE Life Management Services</w:t>
            </w:r>
          </w:p>
        </w:tc>
        <w:tc>
          <w:tcPr>
            <w:tcW w:w="2843" w:type="dxa"/>
          </w:tcPr>
          <w:p w14:paraId="0E54755C" w14:textId="1B176F73" w:rsidR="00623038" w:rsidRPr="007756A8" w:rsidRDefault="00EB4BD2" w:rsidP="00AD23CA">
            <w:pPr>
              <w:spacing w:before="120"/>
              <w:jc w:val="center"/>
              <w:rPr>
                <w:rFonts w:ascii="Times New Roman" w:hAnsi="Times New Roman" w:cs="Times New Roman"/>
                <w:sz w:val="24"/>
                <w:szCs w:val="24"/>
              </w:rPr>
            </w:pPr>
            <w:r>
              <w:rPr>
                <w:rFonts w:ascii="Times New Roman" w:hAnsi="Times New Roman" w:cs="Times New Roman"/>
                <w:sz w:val="24"/>
                <w:szCs w:val="24"/>
              </w:rPr>
              <w:t xml:space="preserve">May </w:t>
            </w:r>
            <w:r w:rsidR="00FF5217">
              <w:rPr>
                <w:rFonts w:ascii="Times New Roman" w:hAnsi="Times New Roman" w:cs="Times New Roman"/>
                <w:sz w:val="24"/>
                <w:szCs w:val="24"/>
              </w:rPr>
              <w:t>17</w:t>
            </w:r>
            <w:r>
              <w:rPr>
                <w:rFonts w:ascii="Times New Roman" w:hAnsi="Times New Roman" w:cs="Times New Roman"/>
                <w:sz w:val="24"/>
                <w:szCs w:val="24"/>
              </w:rPr>
              <w:t>,</w:t>
            </w:r>
            <w:r w:rsidR="00C2101C" w:rsidRPr="007756A8">
              <w:rPr>
                <w:rFonts w:ascii="Times New Roman" w:hAnsi="Times New Roman" w:cs="Times New Roman"/>
                <w:sz w:val="24"/>
                <w:szCs w:val="24"/>
              </w:rPr>
              <w:t xml:space="preserve"> </w:t>
            </w:r>
            <w:r w:rsidR="00067BD1" w:rsidRPr="007756A8">
              <w:rPr>
                <w:rFonts w:ascii="Times New Roman" w:hAnsi="Times New Roman" w:cs="Times New Roman"/>
                <w:sz w:val="24"/>
                <w:szCs w:val="24"/>
              </w:rPr>
              <w:t>2</w:t>
            </w:r>
            <w:r w:rsidR="00C51423" w:rsidRPr="007756A8">
              <w:rPr>
                <w:rFonts w:ascii="Times New Roman" w:hAnsi="Times New Roman" w:cs="Times New Roman"/>
                <w:sz w:val="24"/>
                <w:szCs w:val="24"/>
              </w:rPr>
              <w:t>0</w:t>
            </w:r>
            <w:r w:rsidR="00C2101C" w:rsidRPr="007756A8">
              <w:rPr>
                <w:rFonts w:ascii="Times New Roman" w:hAnsi="Times New Roman" w:cs="Times New Roman"/>
                <w:sz w:val="24"/>
                <w:szCs w:val="24"/>
              </w:rPr>
              <w:t>2</w:t>
            </w:r>
            <w:r>
              <w:rPr>
                <w:rFonts w:ascii="Times New Roman" w:hAnsi="Times New Roman" w:cs="Times New Roman"/>
                <w:sz w:val="24"/>
                <w:szCs w:val="24"/>
              </w:rPr>
              <w:t>4</w:t>
            </w:r>
          </w:p>
        </w:tc>
        <w:tc>
          <w:tcPr>
            <w:tcW w:w="2197" w:type="dxa"/>
          </w:tcPr>
          <w:p w14:paraId="592705C4"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w:t>
            </w:r>
          </w:p>
        </w:tc>
      </w:tr>
      <w:tr w:rsidR="00623038" w:rsidRPr="007756A8" w14:paraId="332F5C1D" w14:textId="77777777" w:rsidTr="001C3A0D">
        <w:tc>
          <w:tcPr>
            <w:tcW w:w="4590" w:type="dxa"/>
            <w:shd w:val="pct10" w:color="auto" w:fill="FFFFFF"/>
          </w:tcPr>
          <w:p w14:paraId="466022FB" w14:textId="77777777"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 xml:space="preserve">Deadline for submission of Applications </w:t>
            </w:r>
          </w:p>
        </w:tc>
        <w:tc>
          <w:tcPr>
            <w:tcW w:w="2843" w:type="dxa"/>
          </w:tcPr>
          <w:p w14:paraId="712AC661" w14:textId="4B3F3879" w:rsidR="00623038" w:rsidRPr="007756A8" w:rsidRDefault="00FF532B" w:rsidP="00AD23CA">
            <w:pPr>
              <w:spacing w:before="120"/>
              <w:jc w:val="center"/>
              <w:rPr>
                <w:rFonts w:ascii="Times New Roman" w:hAnsi="Times New Roman" w:cs="Times New Roman"/>
                <w:sz w:val="24"/>
                <w:szCs w:val="24"/>
              </w:rPr>
            </w:pPr>
            <w:r>
              <w:rPr>
                <w:rFonts w:ascii="Times New Roman" w:hAnsi="Times New Roman" w:cs="Times New Roman"/>
                <w:sz w:val="24"/>
                <w:szCs w:val="24"/>
              </w:rPr>
              <w:t>May</w:t>
            </w:r>
            <w:r w:rsidR="00067BD1" w:rsidRPr="007756A8">
              <w:rPr>
                <w:rFonts w:ascii="Times New Roman" w:hAnsi="Times New Roman" w:cs="Times New Roman"/>
                <w:sz w:val="24"/>
                <w:szCs w:val="24"/>
              </w:rPr>
              <w:t xml:space="preserve"> </w:t>
            </w:r>
            <w:r w:rsidR="00FF5217">
              <w:rPr>
                <w:rFonts w:ascii="Times New Roman" w:hAnsi="Times New Roman" w:cs="Times New Roman"/>
                <w:sz w:val="24"/>
                <w:szCs w:val="24"/>
              </w:rPr>
              <w:t>24</w:t>
            </w:r>
            <w:r w:rsidR="00623038" w:rsidRPr="007756A8">
              <w:rPr>
                <w:rFonts w:ascii="Times New Roman" w:hAnsi="Times New Roman" w:cs="Times New Roman"/>
                <w:sz w:val="24"/>
                <w:szCs w:val="24"/>
              </w:rPr>
              <w:t>, 20</w:t>
            </w:r>
            <w:r w:rsidR="00C2101C" w:rsidRPr="007756A8">
              <w:rPr>
                <w:rFonts w:ascii="Times New Roman" w:hAnsi="Times New Roman" w:cs="Times New Roman"/>
                <w:sz w:val="24"/>
                <w:szCs w:val="24"/>
              </w:rPr>
              <w:t>2</w:t>
            </w:r>
            <w:r>
              <w:rPr>
                <w:rFonts w:ascii="Times New Roman" w:hAnsi="Times New Roman" w:cs="Times New Roman"/>
                <w:sz w:val="24"/>
                <w:szCs w:val="24"/>
              </w:rPr>
              <w:t>4</w:t>
            </w:r>
          </w:p>
        </w:tc>
        <w:tc>
          <w:tcPr>
            <w:tcW w:w="2197" w:type="dxa"/>
          </w:tcPr>
          <w:p w14:paraId="11097738"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4:</w:t>
            </w:r>
            <w:r w:rsidR="00FA453D" w:rsidRPr="007756A8">
              <w:rPr>
                <w:rFonts w:ascii="Times New Roman" w:hAnsi="Times New Roman" w:cs="Times New Roman"/>
                <w:sz w:val="24"/>
                <w:szCs w:val="24"/>
              </w:rPr>
              <w:t>3</w:t>
            </w:r>
            <w:r w:rsidRPr="007756A8">
              <w:rPr>
                <w:rFonts w:ascii="Times New Roman" w:hAnsi="Times New Roman" w:cs="Times New Roman"/>
                <w:sz w:val="24"/>
                <w:szCs w:val="24"/>
              </w:rPr>
              <w:t>0 p.m.</w:t>
            </w:r>
          </w:p>
        </w:tc>
      </w:tr>
      <w:tr w:rsidR="00623038" w:rsidRPr="007756A8" w14:paraId="1D71BBE7" w14:textId="77777777" w:rsidTr="001C3A0D">
        <w:tc>
          <w:tcPr>
            <w:tcW w:w="4590" w:type="dxa"/>
            <w:shd w:val="pct10" w:color="auto" w:fill="FFFFFF"/>
          </w:tcPr>
          <w:p w14:paraId="3AED83ED" w14:textId="77777777"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 xml:space="preserve">Notification of award </w:t>
            </w:r>
          </w:p>
        </w:tc>
        <w:tc>
          <w:tcPr>
            <w:tcW w:w="2843" w:type="dxa"/>
          </w:tcPr>
          <w:p w14:paraId="44EAE833" w14:textId="315C0105" w:rsidR="00623038" w:rsidRPr="007756A8" w:rsidRDefault="00582050" w:rsidP="00AD23CA">
            <w:pPr>
              <w:spacing w:before="120"/>
              <w:jc w:val="center"/>
              <w:rPr>
                <w:rFonts w:ascii="Times New Roman" w:hAnsi="Times New Roman" w:cs="Times New Roman"/>
                <w:sz w:val="24"/>
                <w:szCs w:val="24"/>
              </w:rPr>
            </w:pPr>
            <w:r>
              <w:rPr>
                <w:rFonts w:ascii="Times New Roman" w:hAnsi="Times New Roman" w:cs="Times New Roman"/>
                <w:sz w:val="24"/>
                <w:szCs w:val="24"/>
              </w:rPr>
              <w:t>June 15</w:t>
            </w:r>
            <w:r w:rsidR="00623038" w:rsidRPr="007756A8">
              <w:rPr>
                <w:rFonts w:ascii="Times New Roman" w:hAnsi="Times New Roman" w:cs="Times New Roman"/>
                <w:sz w:val="24"/>
                <w:szCs w:val="24"/>
              </w:rPr>
              <w:t>, 20</w:t>
            </w:r>
            <w:r w:rsidR="00C2101C" w:rsidRPr="007756A8">
              <w:rPr>
                <w:rFonts w:ascii="Times New Roman" w:hAnsi="Times New Roman" w:cs="Times New Roman"/>
                <w:sz w:val="24"/>
                <w:szCs w:val="24"/>
              </w:rPr>
              <w:t>2</w:t>
            </w:r>
            <w:r w:rsidR="00FF532B">
              <w:rPr>
                <w:rFonts w:ascii="Times New Roman" w:hAnsi="Times New Roman" w:cs="Times New Roman"/>
                <w:sz w:val="24"/>
                <w:szCs w:val="24"/>
              </w:rPr>
              <w:t>4</w:t>
            </w:r>
          </w:p>
        </w:tc>
        <w:tc>
          <w:tcPr>
            <w:tcW w:w="2197" w:type="dxa"/>
          </w:tcPr>
          <w:p w14:paraId="02DAC2D9"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w:t>
            </w:r>
          </w:p>
        </w:tc>
      </w:tr>
      <w:tr w:rsidR="00623038" w:rsidRPr="007756A8" w14:paraId="512155DC" w14:textId="77777777" w:rsidTr="001C3A0D">
        <w:tc>
          <w:tcPr>
            <w:tcW w:w="4590" w:type="dxa"/>
            <w:shd w:val="pct10" w:color="auto" w:fill="FFFFFF"/>
          </w:tcPr>
          <w:p w14:paraId="2F4241D2" w14:textId="77777777"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Contract signature</w:t>
            </w:r>
          </w:p>
        </w:tc>
        <w:tc>
          <w:tcPr>
            <w:tcW w:w="2843" w:type="dxa"/>
          </w:tcPr>
          <w:p w14:paraId="1BE3E8E9" w14:textId="59FD7C44" w:rsidR="00623038" w:rsidRPr="007756A8" w:rsidRDefault="00582050" w:rsidP="00AD23CA">
            <w:pPr>
              <w:spacing w:before="120"/>
              <w:jc w:val="center"/>
              <w:rPr>
                <w:rFonts w:ascii="Times New Roman" w:hAnsi="Times New Roman" w:cs="Times New Roman"/>
                <w:sz w:val="24"/>
                <w:szCs w:val="24"/>
              </w:rPr>
            </w:pPr>
            <w:r>
              <w:rPr>
                <w:rFonts w:ascii="Times New Roman" w:hAnsi="Times New Roman" w:cs="Times New Roman"/>
                <w:sz w:val="24"/>
                <w:szCs w:val="24"/>
              </w:rPr>
              <w:t>July</w:t>
            </w:r>
            <w:r w:rsidRPr="007756A8">
              <w:rPr>
                <w:rFonts w:ascii="Times New Roman" w:hAnsi="Times New Roman" w:cs="Times New Roman"/>
                <w:sz w:val="24"/>
                <w:szCs w:val="24"/>
              </w:rPr>
              <w:t xml:space="preserve"> </w:t>
            </w:r>
            <w:r>
              <w:rPr>
                <w:rFonts w:ascii="Times New Roman" w:hAnsi="Times New Roman" w:cs="Times New Roman"/>
                <w:sz w:val="24"/>
                <w:szCs w:val="24"/>
              </w:rPr>
              <w:t>01</w:t>
            </w:r>
            <w:r w:rsidR="00623038" w:rsidRPr="007756A8">
              <w:rPr>
                <w:rFonts w:ascii="Times New Roman" w:hAnsi="Times New Roman" w:cs="Times New Roman"/>
                <w:sz w:val="24"/>
                <w:szCs w:val="24"/>
              </w:rPr>
              <w:t>, 20</w:t>
            </w:r>
            <w:r w:rsidR="00C2101C" w:rsidRPr="007756A8">
              <w:rPr>
                <w:rFonts w:ascii="Times New Roman" w:hAnsi="Times New Roman" w:cs="Times New Roman"/>
                <w:sz w:val="24"/>
                <w:szCs w:val="24"/>
              </w:rPr>
              <w:t>2</w:t>
            </w:r>
            <w:r w:rsidR="00860B23">
              <w:rPr>
                <w:rFonts w:ascii="Times New Roman" w:hAnsi="Times New Roman" w:cs="Times New Roman"/>
                <w:sz w:val="24"/>
                <w:szCs w:val="24"/>
              </w:rPr>
              <w:t>4</w:t>
            </w:r>
          </w:p>
        </w:tc>
        <w:tc>
          <w:tcPr>
            <w:tcW w:w="2197" w:type="dxa"/>
          </w:tcPr>
          <w:p w14:paraId="116B0166"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w:t>
            </w:r>
          </w:p>
        </w:tc>
      </w:tr>
    </w:tbl>
    <w:p w14:paraId="011AFC04" w14:textId="772A6F1C" w:rsidR="00623038" w:rsidRPr="007756A8" w:rsidRDefault="00623038">
      <w:pPr>
        <w:rPr>
          <w:rFonts w:ascii="Times New Roman" w:hAnsi="Times New Roman" w:cs="Times New Roman"/>
          <w:sz w:val="24"/>
          <w:szCs w:val="24"/>
        </w:rPr>
      </w:pPr>
      <w:r w:rsidRPr="007756A8">
        <w:rPr>
          <w:rFonts w:ascii="Times New Roman" w:hAnsi="Times New Roman" w:cs="Times New Roman"/>
          <w:sz w:val="24"/>
          <w:szCs w:val="24"/>
        </w:rPr>
        <w:lastRenderedPageBreak/>
        <w:t xml:space="preserve">This indicative timetable may be updated by </w:t>
      </w:r>
      <w:r w:rsidR="00061727">
        <w:rPr>
          <w:rFonts w:ascii="Times New Roman" w:hAnsi="Times New Roman" w:cs="Times New Roman"/>
          <w:sz w:val="24"/>
          <w:szCs w:val="24"/>
        </w:rPr>
        <w:t>RISE Life Management Services</w:t>
      </w:r>
      <w:r w:rsidRPr="007756A8">
        <w:rPr>
          <w:rFonts w:ascii="Times New Roman" w:hAnsi="Times New Roman" w:cs="Times New Roman"/>
          <w:sz w:val="24"/>
          <w:szCs w:val="24"/>
        </w:rPr>
        <w:t xml:space="preserve"> during the procedure. In such cases, the updated timetable will be published on the RISE Life Management Services web site </w:t>
      </w:r>
      <w:hyperlink r:id="rId15" w:history="1">
        <w:r w:rsidRPr="007756A8">
          <w:rPr>
            <w:rStyle w:val="Hyperlink"/>
            <w:rFonts w:ascii="Times New Roman" w:hAnsi="Times New Roman" w:cs="Times New Roman"/>
            <w:sz w:val="24"/>
            <w:szCs w:val="24"/>
          </w:rPr>
          <w:t>www.risejamaica.org</w:t>
        </w:r>
      </w:hyperlink>
      <w:r w:rsidRPr="007756A8">
        <w:rPr>
          <w:rFonts w:ascii="Times New Roman" w:hAnsi="Times New Roman" w:cs="Times New Roman"/>
          <w:sz w:val="24"/>
          <w:szCs w:val="24"/>
        </w:rPr>
        <w:t xml:space="preserve"> </w:t>
      </w:r>
    </w:p>
    <w:sectPr w:rsidR="00623038" w:rsidRPr="007756A8" w:rsidSect="007A3F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DA199" w14:textId="77777777" w:rsidR="007A3FEF" w:rsidRDefault="007A3FEF" w:rsidP="00793571">
      <w:pPr>
        <w:spacing w:after="0" w:line="240" w:lineRule="auto"/>
      </w:pPr>
      <w:r>
        <w:separator/>
      </w:r>
    </w:p>
  </w:endnote>
  <w:endnote w:type="continuationSeparator" w:id="0">
    <w:p w14:paraId="70981FA3" w14:textId="77777777" w:rsidR="007A3FEF" w:rsidRDefault="007A3FEF" w:rsidP="0079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94D32" w14:textId="77777777" w:rsidR="007A3FEF" w:rsidRDefault="007A3FEF" w:rsidP="00793571">
      <w:pPr>
        <w:spacing w:after="0" w:line="240" w:lineRule="auto"/>
      </w:pPr>
      <w:r>
        <w:separator/>
      </w:r>
    </w:p>
  </w:footnote>
  <w:footnote w:type="continuationSeparator" w:id="0">
    <w:p w14:paraId="5A2F20B1" w14:textId="77777777" w:rsidR="007A3FEF" w:rsidRDefault="007A3FEF" w:rsidP="00793571">
      <w:pPr>
        <w:spacing w:after="0" w:line="240" w:lineRule="auto"/>
      </w:pPr>
      <w:r>
        <w:continuationSeparator/>
      </w:r>
    </w:p>
  </w:footnote>
  <w:footnote w:id="1">
    <w:p w14:paraId="3AE832F7" w14:textId="77777777" w:rsidR="00F148F5" w:rsidRPr="00EA7D52" w:rsidRDefault="00F148F5" w:rsidP="00F148F5">
      <w:pPr>
        <w:pStyle w:val="FootnoteText"/>
      </w:pPr>
      <w:r>
        <w:rPr>
          <w:rStyle w:val="FootnoteReference"/>
        </w:rPr>
        <w:footnoteRef/>
      </w:r>
      <w:r>
        <w:t xml:space="preserve"> Gender Action Plan III, Global Action Plan</w:t>
      </w:r>
    </w:p>
  </w:footnote>
  <w:footnote w:id="2">
    <w:p w14:paraId="14732470" w14:textId="77777777" w:rsidR="00F148F5" w:rsidRDefault="00F148F5" w:rsidP="00F148F5">
      <w:pPr>
        <w:pStyle w:val="FootnoteText"/>
      </w:pPr>
      <w:r>
        <w:rPr>
          <w:rStyle w:val="FootnoteReference"/>
        </w:rPr>
        <w:footnoteRef/>
      </w:r>
      <w:r>
        <w:t xml:space="preserve"> CAPRI – Transforming Citizen Security a </w:t>
      </w:r>
      <w:proofErr w:type="spellStart"/>
      <w:r>
        <w:t>Yaad</w:t>
      </w:r>
      <w:proofErr w:type="spellEnd"/>
      <w:r>
        <w:t>, Executive Summaries</w:t>
      </w:r>
    </w:p>
  </w:footnote>
  <w:footnote w:id="3">
    <w:p w14:paraId="20498D18" w14:textId="77777777" w:rsidR="00F148F5" w:rsidRDefault="00F148F5" w:rsidP="00F148F5">
      <w:pPr>
        <w:pStyle w:val="FootnoteText"/>
      </w:pPr>
      <w:r>
        <w:rPr>
          <w:rStyle w:val="FootnoteReference"/>
        </w:rPr>
        <w:footnoteRef/>
      </w:r>
      <w:r>
        <w:t xml:space="preserve"> CAPRI – Transforming Citizen Security a </w:t>
      </w:r>
      <w:proofErr w:type="spellStart"/>
      <w:r>
        <w:t>Yaad</w:t>
      </w:r>
      <w:proofErr w:type="spellEnd"/>
      <w:r>
        <w:t>, Executive Summaries</w:t>
      </w:r>
    </w:p>
  </w:footnote>
  <w:footnote w:id="4">
    <w:p w14:paraId="40B6923B" w14:textId="77777777" w:rsidR="00F148F5" w:rsidRDefault="00F148F5" w:rsidP="00F148F5">
      <w:pPr>
        <w:pStyle w:val="FootnoteText"/>
      </w:pPr>
      <w:r>
        <w:rPr>
          <w:rStyle w:val="FootnoteReference"/>
        </w:rPr>
        <w:footnoteRef/>
      </w:r>
      <w:r>
        <w:t xml:space="preserve"> Violence prevention through the engagement of Violence Producers – CSJP Violence Prevention </w:t>
      </w:r>
      <w:proofErr w:type="spellStart"/>
      <w:r>
        <w:t>Programme</w:t>
      </w:r>
      <w:proofErr w:type="spellEnd"/>
    </w:p>
  </w:footnote>
  <w:footnote w:id="5">
    <w:p w14:paraId="3714CA56" w14:textId="77777777" w:rsidR="00F148F5" w:rsidRDefault="00F148F5" w:rsidP="00F148F5">
      <w:pPr>
        <w:pStyle w:val="FootnoteText"/>
      </w:pPr>
      <w:r>
        <w:rPr>
          <w:rStyle w:val="FootnoteReference"/>
        </w:rPr>
        <w:footnoteRef/>
      </w:r>
      <w:r>
        <w:t xml:space="preserve"> Ministry of National Security,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866C4"/>
    <w:multiLevelType w:val="multilevel"/>
    <w:tmpl w:val="80A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65B65"/>
    <w:multiLevelType w:val="hybridMultilevel"/>
    <w:tmpl w:val="E4088674"/>
    <w:lvl w:ilvl="0" w:tplc="5D8EAB1C">
      <w:start w:val="4"/>
      <w:numFmt w:val="bullet"/>
      <w:lvlText w:val=""/>
      <w:lvlJc w:val="left"/>
      <w:pPr>
        <w:ind w:left="720" w:hanging="360"/>
      </w:pPr>
      <w:rPr>
        <w:rFonts w:ascii="Symbol" w:eastAsiaTheme="minorHAnsi" w:hAnsi="Symbol" w:cstheme="minorBidi" w:hint="default"/>
        <w:b/>
        <w:sz w:val="22"/>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4C006486"/>
    <w:multiLevelType w:val="hybridMultilevel"/>
    <w:tmpl w:val="75444DEE"/>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54220"/>
    <w:multiLevelType w:val="hybridMultilevel"/>
    <w:tmpl w:val="C9427D1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6D3A0A9E"/>
    <w:multiLevelType w:val="hybridMultilevel"/>
    <w:tmpl w:val="477E418E"/>
    <w:lvl w:ilvl="0" w:tplc="FFFFFFFF">
      <w:start w:val="1"/>
      <w:numFmt w:val="decimal"/>
      <w:lvlText w:val="1.%1."/>
      <w:lvlJc w:val="left"/>
      <w:pPr>
        <w:ind w:left="720" w:hanging="360"/>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330347">
    <w:abstractNumId w:val="3"/>
  </w:num>
  <w:num w:numId="2" w16cid:durableId="1986931109">
    <w:abstractNumId w:val="1"/>
  </w:num>
  <w:num w:numId="3" w16cid:durableId="2005888736">
    <w:abstractNumId w:val="7"/>
  </w:num>
  <w:num w:numId="4" w16cid:durableId="722409519">
    <w:abstractNumId w:val="6"/>
  </w:num>
  <w:num w:numId="5" w16cid:durableId="722364067">
    <w:abstractNumId w:val="4"/>
  </w:num>
  <w:num w:numId="6" w16cid:durableId="2001808982">
    <w:abstractNumId w:val="0"/>
  </w:num>
  <w:num w:numId="7" w16cid:durableId="1648628544">
    <w:abstractNumId w:val="5"/>
  </w:num>
  <w:num w:numId="8" w16cid:durableId="935791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623038"/>
    <w:rsid w:val="00000035"/>
    <w:rsid w:val="00002990"/>
    <w:rsid w:val="00005559"/>
    <w:rsid w:val="00013F0A"/>
    <w:rsid w:val="00016E4D"/>
    <w:rsid w:val="000461BF"/>
    <w:rsid w:val="00050466"/>
    <w:rsid w:val="00051F02"/>
    <w:rsid w:val="00056AED"/>
    <w:rsid w:val="00061727"/>
    <w:rsid w:val="00062020"/>
    <w:rsid w:val="00062C75"/>
    <w:rsid w:val="00066962"/>
    <w:rsid w:val="000671F6"/>
    <w:rsid w:val="00067BD1"/>
    <w:rsid w:val="00073AB3"/>
    <w:rsid w:val="0009182A"/>
    <w:rsid w:val="00093C24"/>
    <w:rsid w:val="000944D2"/>
    <w:rsid w:val="000955D2"/>
    <w:rsid w:val="0009730C"/>
    <w:rsid w:val="000A3B0C"/>
    <w:rsid w:val="000A4E46"/>
    <w:rsid w:val="000A5F61"/>
    <w:rsid w:val="000E13F5"/>
    <w:rsid w:val="000E45A1"/>
    <w:rsid w:val="000E5738"/>
    <w:rsid w:val="000E7004"/>
    <w:rsid w:val="000E721F"/>
    <w:rsid w:val="001025E7"/>
    <w:rsid w:val="00106013"/>
    <w:rsid w:val="001126AC"/>
    <w:rsid w:val="00113135"/>
    <w:rsid w:val="001144CF"/>
    <w:rsid w:val="00121D43"/>
    <w:rsid w:val="00123E74"/>
    <w:rsid w:val="00132129"/>
    <w:rsid w:val="00135FEC"/>
    <w:rsid w:val="00146AE0"/>
    <w:rsid w:val="00180988"/>
    <w:rsid w:val="0019079B"/>
    <w:rsid w:val="00192178"/>
    <w:rsid w:val="001A1C6B"/>
    <w:rsid w:val="001A6136"/>
    <w:rsid w:val="001A6174"/>
    <w:rsid w:val="001A7091"/>
    <w:rsid w:val="001C3A0D"/>
    <w:rsid w:val="001C48D0"/>
    <w:rsid w:val="001D1AD9"/>
    <w:rsid w:val="001D6EEE"/>
    <w:rsid w:val="001E3702"/>
    <w:rsid w:val="001F6208"/>
    <w:rsid w:val="00200067"/>
    <w:rsid w:val="00216831"/>
    <w:rsid w:val="0022219F"/>
    <w:rsid w:val="002301A2"/>
    <w:rsid w:val="0023020E"/>
    <w:rsid w:val="00233761"/>
    <w:rsid w:val="002371E8"/>
    <w:rsid w:val="00243D91"/>
    <w:rsid w:val="00247017"/>
    <w:rsid w:val="00260F10"/>
    <w:rsid w:val="002613BD"/>
    <w:rsid w:val="00264C45"/>
    <w:rsid w:val="00273F69"/>
    <w:rsid w:val="0028019B"/>
    <w:rsid w:val="00281055"/>
    <w:rsid w:val="00285F1B"/>
    <w:rsid w:val="002A7A34"/>
    <w:rsid w:val="002B0EC5"/>
    <w:rsid w:val="002C4A4B"/>
    <w:rsid w:val="002C6534"/>
    <w:rsid w:val="002C704B"/>
    <w:rsid w:val="002D197C"/>
    <w:rsid w:val="002E10B7"/>
    <w:rsid w:val="002E492C"/>
    <w:rsid w:val="00307D27"/>
    <w:rsid w:val="00311007"/>
    <w:rsid w:val="00316B9D"/>
    <w:rsid w:val="00322409"/>
    <w:rsid w:val="003236D1"/>
    <w:rsid w:val="00324488"/>
    <w:rsid w:val="003341E0"/>
    <w:rsid w:val="003365AC"/>
    <w:rsid w:val="00337EE6"/>
    <w:rsid w:val="00342F98"/>
    <w:rsid w:val="003468D9"/>
    <w:rsid w:val="003567F0"/>
    <w:rsid w:val="003766E6"/>
    <w:rsid w:val="00377955"/>
    <w:rsid w:val="00392CE6"/>
    <w:rsid w:val="00393C9E"/>
    <w:rsid w:val="00394DC0"/>
    <w:rsid w:val="00394F84"/>
    <w:rsid w:val="003966A5"/>
    <w:rsid w:val="003A19EF"/>
    <w:rsid w:val="003A525B"/>
    <w:rsid w:val="003C09E3"/>
    <w:rsid w:val="003C544F"/>
    <w:rsid w:val="003D0727"/>
    <w:rsid w:val="003F23A9"/>
    <w:rsid w:val="003F3611"/>
    <w:rsid w:val="00403D33"/>
    <w:rsid w:val="00405822"/>
    <w:rsid w:val="004078B6"/>
    <w:rsid w:val="004236A2"/>
    <w:rsid w:val="00426859"/>
    <w:rsid w:val="00432750"/>
    <w:rsid w:val="004473B6"/>
    <w:rsid w:val="00457CBD"/>
    <w:rsid w:val="004710F9"/>
    <w:rsid w:val="00476E90"/>
    <w:rsid w:val="004801FE"/>
    <w:rsid w:val="00481E87"/>
    <w:rsid w:val="0048695D"/>
    <w:rsid w:val="004962A5"/>
    <w:rsid w:val="004A3A41"/>
    <w:rsid w:val="004B7B9D"/>
    <w:rsid w:val="004C0072"/>
    <w:rsid w:val="004C1104"/>
    <w:rsid w:val="004C5D50"/>
    <w:rsid w:val="004D15B3"/>
    <w:rsid w:val="004E033C"/>
    <w:rsid w:val="004E3833"/>
    <w:rsid w:val="004E56ED"/>
    <w:rsid w:val="004E6A7E"/>
    <w:rsid w:val="004F103F"/>
    <w:rsid w:val="005115B1"/>
    <w:rsid w:val="0051211E"/>
    <w:rsid w:val="00513661"/>
    <w:rsid w:val="00516741"/>
    <w:rsid w:val="00525D4E"/>
    <w:rsid w:val="00531E30"/>
    <w:rsid w:val="00532354"/>
    <w:rsid w:val="005428DC"/>
    <w:rsid w:val="00551977"/>
    <w:rsid w:val="00553A62"/>
    <w:rsid w:val="00562292"/>
    <w:rsid w:val="00566CD0"/>
    <w:rsid w:val="00570BD4"/>
    <w:rsid w:val="005721C1"/>
    <w:rsid w:val="00574D15"/>
    <w:rsid w:val="0058032B"/>
    <w:rsid w:val="00580527"/>
    <w:rsid w:val="00582050"/>
    <w:rsid w:val="00583BD1"/>
    <w:rsid w:val="00586085"/>
    <w:rsid w:val="005905BB"/>
    <w:rsid w:val="0059394C"/>
    <w:rsid w:val="0059503A"/>
    <w:rsid w:val="00596EA2"/>
    <w:rsid w:val="005A3224"/>
    <w:rsid w:val="005B1F73"/>
    <w:rsid w:val="005B28C6"/>
    <w:rsid w:val="005C502C"/>
    <w:rsid w:val="005D6218"/>
    <w:rsid w:val="005E63FD"/>
    <w:rsid w:val="005F09AC"/>
    <w:rsid w:val="005F4D06"/>
    <w:rsid w:val="00611A04"/>
    <w:rsid w:val="00617DF1"/>
    <w:rsid w:val="00623038"/>
    <w:rsid w:val="006317BB"/>
    <w:rsid w:val="006456CC"/>
    <w:rsid w:val="00647562"/>
    <w:rsid w:val="006526B5"/>
    <w:rsid w:val="006562DC"/>
    <w:rsid w:val="006666FA"/>
    <w:rsid w:val="006846DB"/>
    <w:rsid w:val="00684759"/>
    <w:rsid w:val="006913A2"/>
    <w:rsid w:val="006946A6"/>
    <w:rsid w:val="006A36AD"/>
    <w:rsid w:val="006A4F01"/>
    <w:rsid w:val="006A771B"/>
    <w:rsid w:val="006B25A0"/>
    <w:rsid w:val="006B6380"/>
    <w:rsid w:val="006B6D58"/>
    <w:rsid w:val="006C0216"/>
    <w:rsid w:val="006C0261"/>
    <w:rsid w:val="006C20A4"/>
    <w:rsid w:val="006E01BF"/>
    <w:rsid w:val="006F0AE0"/>
    <w:rsid w:val="006F16A8"/>
    <w:rsid w:val="006F2755"/>
    <w:rsid w:val="006F57F7"/>
    <w:rsid w:val="00702531"/>
    <w:rsid w:val="00706D32"/>
    <w:rsid w:val="00733A8D"/>
    <w:rsid w:val="0073596C"/>
    <w:rsid w:val="00740759"/>
    <w:rsid w:val="00752F1F"/>
    <w:rsid w:val="007575C7"/>
    <w:rsid w:val="00761295"/>
    <w:rsid w:val="00764FF5"/>
    <w:rsid w:val="007756A8"/>
    <w:rsid w:val="00776592"/>
    <w:rsid w:val="0078607C"/>
    <w:rsid w:val="0078739D"/>
    <w:rsid w:val="00793571"/>
    <w:rsid w:val="00797341"/>
    <w:rsid w:val="007A3FEF"/>
    <w:rsid w:val="007A6E58"/>
    <w:rsid w:val="007B2CFF"/>
    <w:rsid w:val="007C158B"/>
    <w:rsid w:val="007C236D"/>
    <w:rsid w:val="007C23CE"/>
    <w:rsid w:val="007C6415"/>
    <w:rsid w:val="007D2DD7"/>
    <w:rsid w:val="007D6C57"/>
    <w:rsid w:val="007E3F14"/>
    <w:rsid w:val="007F2ADD"/>
    <w:rsid w:val="007F6130"/>
    <w:rsid w:val="00800E39"/>
    <w:rsid w:val="00800E67"/>
    <w:rsid w:val="00803854"/>
    <w:rsid w:val="00805E4B"/>
    <w:rsid w:val="00806D84"/>
    <w:rsid w:val="008218EB"/>
    <w:rsid w:val="0083355A"/>
    <w:rsid w:val="0084633A"/>
    <w:rsid w:val="008501DB"/>
    <w:rsid w:val="0085129A"/>
    <w:rsid w:val="00860B23"/>
    <w:rsid w:val="00863FE6"/>
    <w:rsid w:val="00867E22"/>
    <w:rsid w:val="00886E46"/>
    <w:rsid w:val="008A04B3"/>
    <w:rsid w:val="008A2600"/>
    <w:rsid w:val="008A4F95"/>
    <w:rsid w:val="008A7FE1"/>
    <w:rsid w:val="008B39A9"/>
    <w:rsid w:val="008B6223"/>
    <w:rsid w:val="008D0B6F"/>
    <w:rsid w:val="008D1EF1"/>
    <w:rsid w:val="008E1DB2"/>
    <w:rsid w:val="008E2EF2"/>
    <w:rsid w:val="008E3750"/>
    <w:rsid w:val="008F0BAF"/>
    <w:rsid w:val="008F49F8"/>
    <w:rsid w:val="008F66C9"/>
    <w:rsid w:val="0090240B"/>
    <w:rsid w:val="0090526E"/>
    <w:rsid w:val="00913CD7"/>
    <w:rsid w:val="00915E60"/>
    <w:rsid w:val="00915F82"/>
    <w:rsid w:val="00925472"/>
    <w:rsid w:val="009402B1"/>
    <w:rsid w:val="0094338D"/>
    <w:rsid w:val="00951522"/>
    <w:rsid w:val="009530CD"/>
    <w:rsid w:val="009548DC"/>
    <w:rsid w:val="009618CC"/>
    <w:rsid w:val="00975E3C"/>
    <w:rsid w:val="00976218"/>
    <w:rsid w:val="00982C4A"/>
    <w:rsid w:val="0098677D"/>
    <w:rsid w:val="00992C30"/>
    <w:rsid w:val="009B07C2"/>
    <w:rsid w:val="009C254E"/>
    <w:rsid w:val="009D764B"/>
    <w:rsid w:val="009D7EA2"/>
    <w:rsid w:val="009E2122"/>
    <w:rsid w:val="009E533A"/>
    <w:rsid w:val="009F489B"/>
    <w:rsid w:val="00A01D15"/>
    <w:rsid w:val="00A04310"/>
    <w:rsid w:val="00A12503"/>
    <w:rsid w:val="00A156D2"/>
    <w:rsid w:val="00A17DB0"/>
    <w:rsid w:val="00A3181F"/>
    <w:rsid w:val="00A33354"/>
    <w:rsid w:val="00A3530F"/>
    <w:rsid w:val="00A660C7"/>
    <w:rsid w:val="00A830EA"/>
    <w:rsid w:val="00A836BD"/>
    <w:rsid w:val="00A870F7"/>
    <w:rsid w:val="00A87259"/>
    <w:rsid w:val="00A96156"/>
    <w:rsid w:val="00AA1D65"/>
    <w:rsid w:val="00AA4AEE"/>
    <w:rsid w:val="00AA79CF"/>
    <w:rsid w:val="00AB0171"/>
    <w:rsid w:val="00AB77CE"/>
    <w:rsid w:val="00AD23CA"/>
    <w:rsid w:val="00AD4C51"/>
    <w:rsid w:val="00AE0B86"/>
    <w:rsid w:val="00AE56D6"/>
    <w:rsid w:val="00AF47D8"/>
    <w:rsid w:val="00B07411"/>
    <w:rsid w:val="00B07BC7"/>
    <w:rsid w:val="00B10494"/>
    <w:rsid w:val="00B11C40"/>
    <w:rsid w:val="00B12C49"/>
    <w:rsid w:val="00B14695"/>
    <w:rsid w:val="00B4334A"/>
    <w:rsid w:val="00B435DB"/>
    <w:rsid w:val="00B43F1C"/>
    <w:rsid w:val="00B50B34"/>
    <w:rsid w:val="00B62DA6"/>
    <w:rsid w:val="00B70477"/>
    <w:rsid w:val="00B70A01"/>
    <w:rsid w:val="00B7141E"/>
    <w:rsid w:val="00B808E6"/>
    <w:rsid w:val="00B938E8"/>
    <w:rsid w:val="00B94349"/>
    <w:rsid w:val="00BA217D"/>
    <w:rsid w:val="00BA4013"/>
    <w:rsid w:val="00BA4381"/>
    <w:rsid w:val="00BB2CAB"/>
    <w:rsid w:val="00BB4E3A"/>
    <w:rsid w:val="00BB5DDD"/>
    <w:rsid w:val="00BC15F7"/>
    <w:rsid w:val="00BD3A11"/>
    <w:rsid w:val="00BD4D98"/>
    <w:rsid w:val="00BD603E"/>
    <w:rsid w:val="00BE12AF"/>
    <w:rsid w:val="00BE271C"/>
    <w:rsid w:val="00BE5DBB"/>
    <w:rsid w:val="00BF3E5A"/>
    <w:rsid w:val="00BF6393"/>
    <w:rsid w:val="00C03401"/>
    <w:rsid w:val="00C07AB7"/>
    <w:rsid w:val="00C11313"/>
    <w:rsid w:val="00C16BAD"/>
    <w:rsid w:val="00C2101C"/>
    <w:rsid w:val="00C2103F"/>
    <w:rsid w:val="00C245FD"/>
    <w:rsid w:val="00C50DC7"/>
    <w:rsid w:val="00C51423"/>
    <w:rsid w:val="00C5400F"/>
    <w:rsid w:val="00C64A5C"/>
    <w:rsid w:val="00C67164"/>
    <w:rsid w:val="00C80B47"/>
    <w:rsid w:val="00C80F93"/>
    <w:rsid w:val="00C81262"/>
    <w:rsid w:val="00C937A1"/>
    <w:rsid w:val="00CA4C07"/>
    <w:rsid w:val="00CA5484"/>
    <w:rsid w:val="00CB03FA"/>
    <w:rsid w:val="00CB2744"/>
    <w:rsid w:val="00CB751C"/>
    <w:rsid w:val="00CC1F4A"/>
    <w:rsid w:val="00CC2537"/>
    <w:rsid w:val="00CC6F2C"/>
    <w:rsid w:val="00CD14E8"/>
    <w:rsid w:val="00CD22C4"/>
    <w:rsid w:val="00CE2CA1"/>
    <w:rsid w:val="00CE3F14"/>
    <w:rsid w:val="00CF22E9"/>
    <w:rsid w:val="00CF60EC"/>
    <w:rsid w:val="00D13C5B"/>
    <w:rsid w:val="00D17D0D"/>
    <w:rsid w:val="00D20A7C"/>
    <w:rsid w:val="00D305A5"/>
    <w:rsid w:val="00D525BF"/>
    <w:rsid w:val="00D566B9"/>
    <w:rsid w:val="00D8602B"/>
    <w:rsid w:val="00D86FE0"/>
    <w:rsid w:val="00D93407"/>
    <w:rsid w:val="00D9508F"/>
    <w:rsid w:val="00DC226A"/>
    <w:rsid w:val="00DC2B6C"/>
    <w:rsid w:val="00DC378A"/>
    <w:rsid w:val="00DD530F"/>
    <w:rsid w:val="00DD6B90"/>
    <w:rsid w:val="00DE03C2"/>
    <w:rsid w:val="00DE4F1A"/>
    <w:rsid w:val="00DE5A2C"/>
    <w:rsid w:val="00DE7986"/>
    <w:rsid w:val="00DF56D6"/>
    <w:rsid w:val="00E1571F"/>
    <w:rsid w:val="00E20725"/>
    <w:rsid w:val="00E219D0"/>
    <w:rsid w:val="00E24234"/>
    <w:rsid w:val="00E53E6B"/>
    <w:rsid w:val="00E56C4B"/>
    <w:rsid w:val="00E619A4"/>
    <w:rsid w:val="00E65ADA"/>
    <w:rsid w:val="00E65B44"/>
    <w:rsid w:val="00E66F21"/>
    <w:rsid w:val="00E7513B"/>
    <w:rsid w:val="00E82216"/>
    <w:rsid w:val="00E83131"/>
    <w:rsid w:val="00E869C0"/>
    <w:rsid w:val="00E909F1"/>
    <w:rsid w:val="00EA107B"/>
    <w:rsid w:val="00EA1108"/>
    <w:rsid w:val="00EA60F1"/>
    <w:rsid w:val="00EB1F5A"/>
    <w:rsid w:val="00EB4BD2"/>
    <w:rsid w:val="00EC1580"/>
    <w:rsid w:val="00EC64DC"/>
    <w:rsid w:val="00ED2FFC"/>
    <w:rsid w:val="00ED3315"/>
    <w:rsid w:val="00ED3975"/>
    <w:rsid w:val="00EE423D"/>
    <w:rsid w:val="00EE66C5"/>
    <w:rsid w:val="00EE7E44"/>
    <w:rsid w:val="00EF41BE"/>
    <w:rsid w:val="00EF4A67"/>
    <w:rsid w:val="00EF5807"/>
    <w:rsid w:val="00F00CF8"/>
    <w:rsid w:val="00F02470"/>
    <w:rsid w:val="00F02512"/>
    <w:rsid w:val="00F1047C"/>
    <w:rsid w:val="00F12F85"/>
    <w:rsid w:val="00F148F5"/>
    <w:rsid w:val="00F22D57"/>
    <w:rsid w:val="00F23BFE"/>
    <w:rsid w:val="00F23D24"/>
    <w:rsid w:val="00F24CBB"/>
    <w:rsid w:val="00F618C4"/>
    <w:rsid w:val="00F650B9"/>
    <w:rsid w:val="00F74794"/>
    <w:rsid w:val="00F775B8"/>
    <w:rsid w:val="00F843F6"/>
    <w:rsid w:val="00F91438"/>
    <w:rsid w:val="00F93D91"/>
    <w:rsid w:val="00F979FE"/>
    <w:rsid w:val="00F97A39"/>
    <w:rsid w:val="00FA0E81"/>
    <w:rsid w:val="00FA1AE8"/>
    <w:rsid w:val="00FA453D"/>
    <w:rsid w:val="00FC6C6A"/>
    <w:rsid w:val="00FE2040"/>
    <w:rsid w:val="00FF12C2"/>
    <w:rsid w:val="00FF5217"/>
    <w:rsid w:val="00FF532B"/>
    <w:rsid w:val="00FF5C47"/>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A425"/>
  <w15:docId w15:val="{939F0D77-6621-4046-9275-53D5A2BA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038"/>
  </w:style>
  <w:style w:type="paragraph" w:styleId="Heading5">
    <w:name w:val="heading 5"/>
    <w:basedOn w:val="Normal"/>
    <w:next w:val="Normal"/>
    <w:link w:val="Heading5Char"/>
    <w:uiPriority w:val="9"/>
    <w:semiHidden/>
    <w:unhideWhenUsed/>
    <w:qFormat/>
    <w:rsid w:val="00F148F5"/>
    <w:pPr>
      <w:keepNext/>
      <w:keepLines/>
      <w:spacing w:before="200" w:after="0" w:line="240" w:lineRule="auto"/>
      <w:outlineLvl w:val="4"/>
    </w:pPr>
    <w:rPr>
      <w:rFonts w:asciiTheme="majorHAnsi" w:eastAsiaTheme="majorEastAsia" w:hAnsiTheme="majorHAnsi" w:cs="Times New Roman"/>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38"/>
    <w:rPr>
      <w:color w:val="0000FF" w:themeColor="hyperlink"/>
      <w:u w:val="single"/>
    </w:rPr>
  </w:style>
  <w:style w:type="paragraph" w:styleId="ListParagraph">
    <w:name w:val="List Paragraph"/>
    <w:basedOn w:val="Normal"/>
    <w:uiPriority w:val="34"/>
    <w:qFormat/>
    <w:rsid w:val="00623038"/>
    <w:pPr>
      <w:ind w:left="720"/>
      <w:contextualSpacing/>
    </w:pPr>
  </w:style>
  <w:style w:type="paragraph" w:customStyle="1" w:styleId="Guidelines3">
    <w:name w:val="Guidelines 3"/>
    <w:basedOn w:val="Normal"/>
    <w:next w:val="Normal"/>
    <w:autoRedefine/>
    <w:qFormat/>
    <w:rsid w:val="008E375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00"/>
      </w:tabs>
      <w:spacing w:before="120" w:after="0" w:line="240" w:lineRule="auto"/>
      <w:ind w:left="851" w:hanging="851"/>
      <w:jc w:val="center"/>
    </w:pPr>
    <w:rPr>
      <w:rFonts w:ascii="Times New Roman" w:eastAsia="Times New Roman" w:hAnsi="Times New Roman" w:cs="Times New Roman"/>
      <w:b/>
      <w:i/>
      <w:snapToGrid w:val="0"/>
      <w:sz w:val="24"/>
      <w:szCs w:val="20"/>
      <w:lang w:val="en-GB"/>
    </w:rPr>
  </w:style>
  <w:style w:type="character" w:customStyle="1" w:styleId="UnresolvedMention1">
    <w:name w:val="Unresolved Mention1"/>
    <w:basedOn w:val="DefaultParagraphFont"/>
    <w:uiPriority w:val="99"/>
    <w:semiHidden/>
    <w:unhideWhenUsed/>
    <w:rsid w:val="00E65ADA"/>
    <w:rPr>
      <w:color w:val="808080"/>
      <w:shd w:val="clear" w:color="auto" w:fill="E6E6E6"/>
    </w:rPr>
  </w:style>
  <w:style w:type="paragraph" w:styleId="NormalWeb">
    <w:name w:val="Normal (Web)"/>
    <w:basedOn w:val="Normal"/>
    <w:uiPriority w:val="99"/>
    <w:rsid w:val="00ED2FF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BalloonText">
    <w:name w:val="Balloon Text"/>
    <w:basedOn w:val="Normal"/>
    <w:link w:val="BalloonTextChar"/>
    <w:uiPriority w:val="99"/>
    <w:semiHidden/>
    <w:unhideWhenUsed/>
    <w:rsid w:val="00486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5D"/>
    <w:rPr>
      <w:rFonts w:ascii="Segoe UI" w:hAnsi="Segoe UI" w:cs="Segoe UI"/>
      <w:sz w:val="18"/>
      <w:szCs w:val="18"/>
    </w:rPr>
  </w:style>
  <w:style w:type="paragraph" w:styleId="Subtitle">
    <w:name w:val="Subtitle"/>
    <w:basedOn w:val="Normal"/>
    <w:next w:val="Normal"/>
    <w:link w:val="SubtitleChar"/>
    <w:uiPriority w:val="11"/>
    <w:qFormat/>
    <w:rsid w:val="00793571"/>
    <w:pPr>
      <w:numPr>
        <w:ilvl w:val="1"/>
      </w:numPr>
      <w:spacing w:after="160" w:line="240" w:lineRule="auto"/>
      <w:jc w:val="both"/>
    </w:pPr>
    <w:rPr>
      <w:rFonts w:ascii="Calibri" w:eastAsia="Times New Roman" w:hAnsi="Calibri" w:cs="Times New Roman"/>
      <w:color w:val="212721"/>
      <w:spacing w:val="15"/>
    </w:rPr>
  </w:style>
  <w:style w:type="character" w:customStyle="1" w:styleId="SubtitleChar">
    <w:name w:val="Subtitle Char"/>
    <w:basedOn w:val="DefaultParagraphFont"/>
    <w:link w:val="Subtitle"/>
    <w:uiPriority w:val="11"/>
    <w:rsid w:val="00793571"/>
    <w:rPr>
      <w:rFonts w:ascii="Calibri" w:eastAsia="Times New Roman" w:hAnsi="Calibri" w:cs="Times New Roman"/>
      <w:color w:val="212721"/>
      <w:spacing w:val="15"/>
    </w:rPr>
  </w:style>
  <w:style w:type="character" w:styleId="Strong">
    <w:name w:val="Strong"/>
    <w:uiPriority w:val="22"/>
    <w:qFormat/>
    <w:rsid w:val="00793571"/>
    <w:rPr>
      <w:b/>
      <w:bC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unhideWhenUsed/>
    <w:qFormat/>
    <w:rsid w:val="00793571"/>
    <w:pPr>
      <w:spacing w:after="80" w:line="240" w:lineRule="auto"/>
      <w:jc w:val="both"/>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793571"/>
    <w:rPr>
      <w:rFonts w:ascii="Calibri" w:eastAsia="Calibri" w:hAnsi="Calibri"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BVI fnr,BVI fnr Car"/>
    <w:link w:val="Char2"/>
    <w:uiPriority w:val="99"/>
    <w:unhideWhenUsed/>
    <w:qFormat/>
    <w:rsid w:val="00793571"/>
    <w:rPr>
      <w:vertAlign w:val="superscript"/>
    </w:rPr>
  </w:style>
  <w:style w:type="paragraph" w:styleId="Caption">
    <w:name w:val="caption"/>
    <w:basedOn w:val="Normal"/>
    <w:next w:val="Normal"/>
    <w:uiPriority w:val="35"/>
    <w:unhideWhenUsed/>
    <w:qFormat/>
    <w:rsid w:val="006B25A0"/>
    <w:pPr>
      <w:spacing w:line="240" w:lineRule="auto"/>
      <w:jc w:val="both"/>
    </w:pPr>
    <w:rPr>
      <w:rFonts w:ascii="Times New Roman" w:eastAsia="Times New Roman" w:hAnsi="Times New Roman" w:cs="Times New Roman"/>
      <w:b/>
      <w:bCs/>
      <w:sz w:val="20"/>
      <w:szCs w:val="20"/>
      <w:lang w:val="en-GB"/>
    </w:rPr>
  </w:style>
  <w:style w:type="character" w:styleId="CommentReference">
    <w:name w:val="annotation reference"/>
    <w:basedOn w:val="DefaultParagraphFont"/>
    <w:uiPriority w:val="99"/>
    <w:semiHidden/>
    <w:unhideWhenUsed/>
    <w:rsid w:val="007C6415"/>
    <w:rPr>
      <w:sz w:val="16"/>
      <w:szCs w:val="16"/>
    </w:rPr>
  </w:style>
  <w:style w:type="paragraph" w:styleId="CommentText">
    <w:name w:val="annotation text"/>
    <w:basedOn w:val="Normal"/>
    <w:link w:val="CommentTextChar"/>
    <w:uiPriority w:val="99"/>
    <w:semiHidden/>
    <w:unhideWhenUsed/>
    <w:rsid w:val="007C6415"/>
    <w:pPr>
      <w:spacing w:line="240" w:lineRule="auto"/>
    </w:pPr>
    <w:rPr>
      <w:sz w:val="20"/>
      <w:szCs w:val="20"/>
    </w:rPr>
  </w:style>
  <w:style w:type="character" w:customStyle="1" w:styleId="CommentTextChar">
    <w:name w:val="Comment Text Char"/>
    <w:basedOn w:val="DefaultParagraphFont"/>
    <w:link w:val="CommentText"/>
    <w:uiPriority w:val="99"/>
    <w:semiHidden/>
    <w:rsid w:val="007C6415"/>
    <w:rPr>
      <w:sz w:val="20"/>
      <w:szCs w:val="20"/>
    </w:rPr>
  </w:style>
  <w:style w:type="paragraph" w:styleId="CommentSubject">
    <w:name w:val="annotation subject"/>
    <w:basedOn w:val="CommentText"/>
    <w:next w:val="CommentText"/>
    <w:link w:val="CommentSubjectChar"/>
    <w:uiPriority w:val="99"/>
    <w:semiHidden/>
    <w:unhideWhenUsed/>
    <w:rsid w:val="007C6415"/>
    <w:rPr>
      <w:b/>
      <w:bCs/>
    </w:rPr>
  </w:style>
  <w:style w:type="character" w:customStyle="1" w:styleId="CommentSubjectChar">
    <w:name w:val="Comment Subject Char"/>
    <w:basedOn w:val="CommentTextChar"/>
    <w:link w:val="CommentSubject"/>
    <w:uiPriority w:val="99"/>
    <w:semiHidden/>
    <w:rsid w:val="007C6415"/>
    <w:rPr>
      <w:b/>
      <w:bCs/>
      <w:sz w:val="20"/>
      <w:szCs w:val="20"/>
    </w:rPr>
  </w:style>
  <w:style w:type="character" w:customStyle="1" w:styleId="Heading5Char">
    <w:name w:val="Heading 5 Char"/>
    <w:basedOn w:val="DefaultParagraphFont"/>
    <w:link w:val="Heading5"/>
    <w:uiPriority w:val="9"/>
    <w:semiHidden/>
    <w:rsid w:val="00F148F5"/>
    <w:rPr>
      <w:rFonts w:asciiTheme="majorHAnsi" w:eastAsiaTheme="majorEastAsia" w:hAnsiTheme="majorHAnsi" w:cs="Times New Roman"/>
      <w:color w:val="243F60" w:themeColor="accent1" w:themeShade="7F"/>
      <w:sz w:val="24"/>
      <w:szCs w:val="24"/>
      <w:lang w:val="en-GB" w:eastAsia="en-GB"/>
    </w:rPr>
  </w:style>
  <w:style w:type="paragraph" w:customStyle="1" w:styleId="Char2">
    <w:name w:val="Char2"/>
    <w:basedOn w:val="Normal"/>
    <w:link w:val="FootnoteReference"/>
    <w:uiPriority w:val="99"/>
    <w:rsid w:val="00F148F5"/>
    <w:pPr>
      <w:spacing w:after="160" w:line="240" w:lineRule="exact"/>
    </w:pPr>
    <w:rPr>
      <w:vertAlign w:val="superscript"/>
    </w:rPr>
  </w:style>
  <w:style w:type="table" w:styleId="TableGrid">
    <w:name w:val="Table Grid"/>
    <w:basedOn w:val="TableNormal"/>
    <w:uiPriority w:val="59"/>
    <w:rsid w:val="0012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01BF"/>
    <w:pPr>
      <w:spacing w:after="0" w:line="240" w:lineRule="auto"/>
    </w:pPr>
  </w:style>
  <w:style w:type="character" w:styleId="UnresolvedMention">
    <w:name w:val="Unresolved Mention"/>
    <w:basedOn w:val="DefaultParagraphFont"/>
    <w:uiPriority w:val="99"/>
    <w:semiHidden/>
    <w:unhideWhenUsed/>
    <w:rsid w:val="00E20725"/>
    <w:rPr>
      <w:color w:val="605E5C"/>
      <w:shd w:val="clear" w:color="auto" w:fill="E1DFDD"/>
    </w:rPr>
  </w:style>
  <w:style w:type="paragraph" w:customStyle="1" w:styleId="Default">
    <w:name w:val="Default"/>
    <w:rsid w:val="00F02512"/>
    <w:pPr>
      <w:autoSpaceDE w:val="0"/>
      <w:autoSpaceDN w:val="0"/>
      <w:adjustRightInd w:val="0"/>
      <w:spacing w:after="0" w:line="240" w:lineRule="auto"/>
    </w:pPr>
    <w:rPr>
      <w:rFonts w:ascii="Arial" w:hAnsi="Arial" w:cs="Arial"/>
      <w:color w:val="000000"/>
      <w:sz w:val="24"/>
      <w:szCs w:val="24"/>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95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isejamaic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isejamaica.org"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mailto:info@risejamaic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risejama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14</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McGregor</dc:creator>
  <cp:keywords/>
  <dc:description/>
  <cp:lastModifiedBy>Shawn McGregor</cp:lastModifiedBy>
  <cp:revision>25</cp:revision>
  <cp:lastPrinted>2017-08-16T18:22:00Z</cp:lastPrinted>
  <dcterms:created xsi:type="dcterms:W3CDTF">2024-03-21T18:13:00Z</dcterms:created>
  <dcterms:modified xsi:type="dcterms:W3CDTF">2024-04-05T16:14:00Z</dcterms:modified>
</cp:coreProperties>
</file>